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1"/>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江岸区市场监管局关于组织开展创新管理知识产权国际标准实施试点的通知</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42" w:firstLineChars="200"/>
        <w:jc w:val="center"/>
        <w:textAlignment w:val="auto"/>
        <w:outlineLvl w:val="3"/>
        <w:rPr>
          <w:rFonts w:hint="eastAsia" w:ascii="方正小标宋简体" w:hAnsi="方正小标宋简体" w:eastAsia="方正小标宋简体" w:cs="方正小标宋简体"/>
          <w:b/>
          <w:bCs/>
          <w:color w:val="333333"/>
          <w:kern w:val="0"/>
          <w:sz w:val="22"/>
        </w:rPr>
      </w:pPr>
    </w:p>
    <w:p>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方正小标宋简体" w:hAnsi="方正小标宋简体" w:eastAsia="方正小标宋简体" w:cs="方正小标宋简体"/>
          <w:kern w:val="0"/>
          <w:sz w:val="24"/>
          <w:szCs w:val="24"/>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创新管理—知识产权管理指南（ISO56005）》国际标准（以下简称ISO56005国际标准）是由我国提出并推动制定的首个知识产权管理国际标准，是创新管理国际标准体系的重要组成部分。ISO56005国际标准以创新价值实现为核心导向，坚持创新管理与知识产权的深度融合，将知识产权管理活动嵌入创新全过程，通过明确创新过程中的知识产权管理目标、方法和路径，全面提升创新效率、创新质量和创新效益。根据《湖北省知识产权局关于推荐实施创新管理知识产权国际标准试点企业通知》和市局相关要求，现就组织开展创新管理知识产权国际标准实施试点工作通知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一、首批试点确定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优先选择工作基础好、创新能力强、开展试点意愿高的企业作为首批试点企业，并组织试点企业开展知识产权和创新能力的初始测评。首批试点采取自荐与推荐相结合的方式，区内国家知识产权优势示范企业、专精特新“小巨人”企业积极申报，填写首批试点企业申报表（见附件1），并报送至区市场监管局。</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二、试点工作安排</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楷体" w:hAnsi="楷体" w:eastAsia="楷体" w:cs="楷体"/>
          <w:kern w:val="0"/>
          <w:sz w:val="32"/>
          <w:szCs w:val="32"/>
        </w:rPr>
        <w:t>（一）标准实施。</w:t>
      </w:r>
      <w:r>
        <w:rPr>
          <w:rFonts w:hint="eastAsia" w:ascii="仿宋_GB2312" w:hAnsi="仿宋_GB2312" w:eastAsia="仿宋_GB2312" w:cs="仿宋_GB2312"/>
          <w:kern w:val="0"/>
          <w:sz w:val="32"/>
          <w:szCs w:val="32"/>
        </w:rPr>
        <w:t>面向试点企业加强ISO56005国际标准的宣传推广和支持指导，发挥综合服务平台线上服务优势，组织试点企业开展ISO56005国际标准培训和交流，推动试点企业知识产权和创新全过程管理的紧密融合，不断改进提升知识产权管理能力和创新能力。</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楷体" w:hAnsi="楷体" w:eastAsia="楷体" w:cs="楷体"/>
          <w:kern w:val="0"/>
          <w:sz w:val="32"/>
          <w:szCs w:val="32"/>
        </w:rPr>
        <w:t>（二） 阶段评价。</w:t>
      </w:r>
      <w:r>
        <w:rPr>
          <w:rFonts w:hint="eastAsia" w:ascii="仿宋_GB2312" w:hAnsi="仿宋_GB2312" w:eastAsia="仿宋_GB2312" w:cs="仿宋_GB2312"/>
          <w:kern w:val="0"/>
          <w:sz w:val="32"/>
          <w:szCs w:val="32"/>
        </w:rPr>
        <w:t>组织参加试点的企业，通过综合服务平台开展年度知识产权和创新能力相关数据填报，试点企业填报的数据将同步用于国家知识产权优势示范企业评选、复核。推荐试点企业开展ISO56005国际标准能力分级评价。</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三、保障措施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楷体" w:hAnsi="楷体" w:eastAsia="楷体" w:cs="楷体"/>
          <w:kern w:val="0"/>
          <w:sz w:val="32"/>
          <w:szCs w:val="32"/>
        </w:rPr>
        <w:t>（一）组织动员。</w:t>
      </w:r>
      <w:r>
        <w:rPr>
          <w:rFonts w:hint="eastAsia" w:ascii="仿宋_GB2312" w:hAnsi="仿宋_GB2312" w:eastAsia="仿宋_GB2312" w:cs="仿宋_GB2312"/>
          <w:kern w:val="0"/>
          <w:sz w:val="32"/>
          <w:szCs w:val="32"/>
        </w:rPr>
        <w:t>区市场监管局做好辖区试点企业的组织动员，择优遴选和跟踪服务。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楷体" w:hAnsi="楷体" w:eastAsia="楷体" w:cs="楷体"/>
          <w:kern w:val="0"/>
          <w:sz w:val="32"/>
          <w:szCs w:val="32"/>
        </w:rPr>
        <w:t>（二）加强推广。</w:t>
      </w:r>
      <w:r>
        <w:rPr>
          <w:rFonts w:hint="eastAsia" w:ascii="仿宋_GB2312" w:hAnsi="仿宋_GB2312" w:eastAsia="仿宋_GB2312" w:cs="仿宋_GB2312"/>
          <w:kern w:val="0"/>
          <w:sz w:val="32"/>
          <w:szCs w:val="32"/>
        </w:rPr>
        <w:t>鼓励试点企业边试点、边总结，将创新管理国际标准实施经验向产业链上下游企业、本行业领域内企业进行宣贯推广，利用主流媒体进一步扩大试点影响力和覆盖面。</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textWrapping"/>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江岸区市场监督管理局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bookmarkStart w:id="0" w:name="_GoBack"/>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2023年6月19日</w:t>
      </w:r>
      <w:bookmarkEnd w:id="0"/>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ind w:firstLine="500" w:firstLineChars="200"/>
        <w:jc w:val="right"/>
        <w:textAlignment w:val="auto"/>
        <w:rPr>
          <w:rFonts w:hint="eastAsia" w:ascii="方正小标宋简体" w:hAnsi="方正小标宋简体" w:eastAsia="方正小标宋简体" w:cs="方正小标宋简体"/>
          <w:kern w:val="0"/>
          <w:sz w:val="24"/>
          <w:szCs w:val="24"/>
        </w:rPr>
      </w:pPr>
      <w:r>
        <w:rPr>
          <w:rFonts w:hint="eastAsia" w:ascii="方正小标宋简体" w:hAnsi="方正小标宋简体" w:eastAsia="方正小标宋简体" w:cs="方正小标宋简体"/>
          <w:kern w:val="0"/>
          <w:sz w:val="25"/>
          <w:szCs w:val="25"/>
        </w:rPr>
        <w:br w:type="textWrapping"/>
      </w:r>
    </w:p>
    <w:p>
      <w:pPr>
        <w:keepNext w:val="0"/>
        <w:keepLines w:val="0"/>
        <w:pageBreakBefore w:val="0"/>
        <w:widowControl/>
        <w:kinsoku/>
        <w:wordWrap/>
        <w:overflowPunct/>
        <w:topLinePunct w:val="0"/>
        <w:autoSpaceDE/>
        <w:autoSpaceDN/>
        <w:bidi w:val="0"/>
        <w:adjustRightInd/>
        <w:snapToGrid/>
        <w:spacing w:line="540" w:lineRule="exact"/>
        <w:ind w:firstLine="500" w:firstLineChars="200"/>
        <w:jc w:val="left"/>
        <w:textAlignment w:val="auto"/>
        <w:rPr>
          <w:rFonts w:hint="eastAsia" w:ascii="方正小标宋简体" w:hAnsi="方正小标宋简体" w:eastAsia="方正小标宋简体" w:cs="方正小标宋简体"/>
          <w:kern w:val="0"/>
          <w:sz w:val="25"/>
          <w:szCs w:val="25"/>
        </w:rPr>
      </w:pPr>
      <w:r>
        <w:rPr>
          <w:rFonts w:hint="eastAsia" w:ascii="方正小标宋简体" w:hAnsi="方正小标宋简体" w:eastAsia="方正小标宋简体" w:cs="方正小标宋简体"/>
          <w:kern w:val="0"/>
          <w:sz w:val="25"/>
          <w:szCs w:val="25"/>
        </w:rPr>
        <w:br w:type="textWrapping"/>
      </w:r>
    </w:p>
    <w:p>
      <w:pPr>
        <w:keepNext w:val="0"/>
        <w:keepLines w:val="0"/>
        <w:pageBreakBefore w:val="0"/>
        <w:widowControl/>
        <w:kinsoku/>
        <w:wordWrap/>
        <w:overflowPunct/>
        <w:topLinePunct w:val="0"/>
        <w:autoSpaceDE/>
        <w:autoSpaceDN/>
        <w:bidi w:val="0"/>
        <w:adjustRightInd/>
        <w:snapToGrid/>
        <w:spacing w:line="540" w:lineRule="exact"/>
        <w:ind w:firstLine="500" w:firstLineChars="200"/>
        <w:jc w:val="left"/>
        <w:textAlignment w:val="auto"/>
        <w:rPr>
          <w:rFonts w:hint="eastAsia" w:ascii="方正小标宋简体" w:hAnsi="方正小标宋简体" w:eastAsia="方正小标宋简体" w:cs="方正小标宋简体"/>
          <w:kern w:val="0"/>
          <w:sz w:val="25"/>
          <w:szCs w:val="25"/>
        </w:rPr>
      </w:pPr>
    </w:p>
    <w:p>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附件：</w:t>
      </w:r>
    </w:p>
    <w:p>
      <w:pPr>
        <w:jc w:val="center"/>
        <w:rPr>
          <w:rFonts w:hint="default"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首批试点企业申报表</w:t>
      </w:r>
    </w:p>
    <w:p>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填报单位：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738"/>
        <w:gridCol w:w="1487"/>
        <w:gridCol w:w="1163"/>
        <w:gridCol w:w="1823"/>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rPr>
                <w:rFonts w:hint="default" w:ascii="CESI仿宋-GB2312" w:hAnsi="CESI仿宋-GB2312" w:eastAsia="CESI仿宋-GB2312" w:cs="CESI仿宋-GB2312"/>
                <w:sz w:val="30"/>
                <w:szCs w:val="30"/>
                <w:vertAlign w:val="baseline"/>
                <w:lang w:val="en-US" w:eastAsia="zh-CN"/>
              </w:rPr>
            </w:pPr>
            <w:r>
              <w:rPr>
                <w:rFonts w:hint="eastAsia" w:ascii="CESI仿宋-GB2312" w:hAnsi="CESI仿宋-GB2312" w:eastAsia="CESI仿宋-GB2312" w:cs="CESI仿宋-GB2312"/>
                <w:sz w:val="30"/>
                <w:szCs w:val="30"/>
                <w:vertAlign w:val="baseline"/>
                <w:lang w:val="en-US" w:eastAsia="zh-CN"/>
              </w:rPr>
              <w:t>序号</w:t>
            </w:r>
          </w:p>
        </w:tc>
        <w:tc>
          <w:tcPr>
            <w:tcW w:w="1738" w:type="dxa"/>
            <w:noWrap w:val="0"/>
            <w:vAlign w:val="top"/>
          </w:tcPr>
          <w:p>
            <w:pPr>
              <w:rPr>
                <w:rFonts w:hint="default" w:ascii="CESI仿宋-GB2312" w:hAnsi="CESI仿宋-GB2312" w:eastAsia="CESI仿宋-GB2312" w:cs="CESI仿宋-GB2312"/>
                <w:sz w:val="30"/>
                <w:szCs w:val="30"/>
                <w:vertAlign w:val="baseline"/>
                <w:lang w:val="en-US" w:eastAsia="zh-CN"/>
              </w:rPr>
            </w:pPr>
            <w:r>
              <w:rPr>
                <w:rFonts w:hint="eastAsia" w:ascii="CESI仿宋-GB2312" w:hAnsi="CESI仿宋-GB2312" w:eastAsia="CESI仿宋-GB2312" w:cs="CESI仿宋-GB2312"/>
                <w:sz w:val="30"/>
                <w:szCs w:val="30"/>
                <w:vertAlign w:val="baseline"/>
                <w:lang w:val="en-US" w:eastAsia="zh-CN"/>
              </w:rPr>
              <w:t>企业名称</w:t>
            </w:r>
          </w:p>
        </w:tc>
        <w:tc>
          <w:tcPr>
            <w:tcW w:w="1487" w:type="dxa"/>
            <w:noWrap w:val="0"/>
            <w:vAlign w:val="top"/>
          </w:tcPr>
          <w:p>
            <w:pPr>
              <w:rPr>
                <w:rFonts w:hint="default" w:ascii="CESI仿宋-GB2312" w:hAnsi="CESI仿宋-GB2312" w:eastAsia="CESI仿宋-GB2312" w:cs="CESI仿宋-GB2312"/>
                <w:sz w:val="30"/>
                <w:szCs w:val="30"/>
                <w:vertAlign w:val="baseline"/>
                <w:lang w:val="en-US" w:eastAsia="zh-CN"/>
              </w:rPr>
            </w:pPr>
            <w:r>
              <w:rPr>
                <w:rFonts w:hint="eastAsia" w:ascii="CESI仿宋-GB2312" w:hAnsi="CESI仿宋-GB2312" w:eastAsia="CESI仿宋-GB2312" w:cs="CESI仿宋-GB2312"/>
                <w:sz w:val="30"/>
                <w:szCs w:val="30"/>
                <w:vertAlign w:val="baseline"/>
                <w:lang w:val="en-US" w:eastAsia="zh-CN"/>
              </w:rPr>
              <w:t>企业属性</w:t>
            </w:r>
          </w:p>
        </w:tc>
        <w:tc>
          <w:tcPr>
            <w:tcW w:w="1163" w:type="dxa"/>
            <w:noWrap w:val="0"/>
            <w:vAlign w:val="top"/>
          </w:tcPr>
          <w:p>
            <w:pPr>
              <w:rPr>
                <w:rFonts w:hint="default" w:ascii="CESI仿宋-GB2312" w:hAnsi="CESI仿宋-GB2312" w:eastAsia="CESI仿宋-GB2312" w:cs="CESI仿宋-GB2312"/>
                <w:sz w:val="30"/>
                <w:szCs w:val="30"/>
                <w:vertAlign w:val="baseline"/>
                <w:lang w:val="en-US" w:eastAsia="zh-CN"/>
              </w:rPr>
            </w:pPr>
            <w:r>
              <w:rPr>
                <w:rFonts w:hint="eastAsia" w:ascii="CESI仿宋-GB2312" w:hAnsi="CESI仿宋-GB2312" w:eastAsia="CESI仿宋-GB2312" w:cs="CESI仿宋-GB2312"/>
                <w:sz w:val="30"/>
                <w:szCs w:val="30"/>
                <w:vertAlign w:val="baseline"/>
                <w:lang w:val="en-US" w:eastAsia="zh-CN"/>
              </w:rPr>
              <w:t>联系人</w:t>
            </w:r>
          </w:p>
        </w:tc>
        <w:tc>
          <w:tcPr>
            <w:tcW w:w="1823" w:type="dxa"/>
            <w:noWrap w:val="0"/>
            <w:vAlign w:val="top"/>
          </w:tcPr>
          <w:p>
            <w:pPr>
              <w:rPr>
                <w:rFonts w:hint="eastAsia" w:ascii="CESI仿宋-GB2312" w:hAnsi="CESI仿宋-GB2312" w:eastAsia="CESI仿宋-GB2312" w:cs="CESI仿宋-GB2312"/>
                <w:sz w:val="30"/>
                <w:szCs w:val="30"/>
                <w:vertAlign w:val="baseline"/>
                <w:lang w:val="en-US" w:eastAsia="zh-CN"/>
              </w:rPr>
            </w:pPr>
            <w:r>
              <w:rPr>
                <w:rFonts w:hint="eastAsia" w:ascii="CESI仿宋-GB2312" w:hAnsi="CESI仿宋-GB2312" w:eastAsia="CESI仿宋-GB2312" w:cs="CESI仿宋-GB2312"/>
                <w:sz w:val="30"/>
                <w:szCs w:val="30"/>
                <w:vertAlign w:val="baseline"/>
                <w:lang w:val="en-US" w:eastAsia="zh-CN"/>
              </w:rPr>
              <w:t>联系人职务</w:t>
            </w:r>
          </w:p>
        </w:tc>
        <w:tc>
          <w:tcPr>
            <w:tcW w:w="1420" w:type="dxa"/>
            <w:noWrap w:val="0"/>
            <w:vAlign w:val="top"/>
          </w:tcPr>
          <w:p>
            <w:pPr>
              <w:rPr>
                <w:rFonts w:hint="default" w:ascii="CESI仿宋-GB2312" w:hAnsi="CESI仿宋-GB2312" w:eastAsia="CESI仿宋-GB2312" w:cs="CESI仿宋-GB2312"/>
                <w:sz w:val="30"/>
                <w:szCs w:val="30"/>
                <w:vertAlign w:val="baseline"/>
                <w:lang w:val="en-US" w:eastAsia="zh-CN"/>
              </w:rPr>
            </w:pPr>
            <w:r>
              <w:rPr>
                <w:rFonts w:hint="eastAsia" w:ascii="CESI仿宋-GB2312" w:hAnsi="CESI仿宋-GB2312" w:eastAsia="CESI仿宋-GB2312" w:cs="CESI仿宋-GB2312"/>
                <w:sz w:val="30"/>
                <w:szCs w:val="30"/>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738"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487"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163"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823"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420" w:type="dxa"/>
            <w:noWrap w:val="0"/>
            <w:vAlign w:val="top"/>
          </w:tcPr>
          <w:p>
            <w:pPr>
              <w:rPr>
                <w:rFonts w:hint="default" w:ascii="CESI仿宋-GB2312" w:hAnsi="CESI仿宋-GB2312" w:eastAsia="CESI仿宋-GB2312" w:cs="CESI仿宋-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738"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487"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163"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823"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420" w:type="dxa"/>
            <w:noWrap w:val="0"/>
            <w:vAlign w:val="top"/>
          </w:tcPr>
          <w:p>
            <w:pPr>
              <w:rPr>
                <w:rFonts w:hint="default" w:ascii="CESI仿宋-GB2312" w:hAnsi="CESI仿宋-GB2312" w:eastAsia="CESI仿宋-GB2312" w:cs="CESI仿宋-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738"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487"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163"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823" w:type="dxa"/>
            <w:noWrap w:val="0"/>
            <w:vAlign w:val="top"/>
          </w:tcPr>
          <w:p>
            <w:pPr>
              <w:rPr>
                <w:rFonts w:hint="default" w:ascii="CESI仿宋-GB2312" w:hAnsi="CESI仿宋-GB2312" w:eastAsia="CESI仿宋-GB2312" w:cs="CESI仿宋-GB2312"/>
                <w:sz w:val="32"/>
                <w:szCs w:val="32"/>
                <w:vertAlign w:val="baseline"/>
                <w:lang w:val="en-US" w:eastAsia="zh-CN"/>
              </w:rPr>
            </w:pPr>
          </w:p>
        </w:tc>
        <w:tc>
          <w:tcPr>
            <w:tcW w:w="1420" w:type="dxa"/>
            <w:noWrap w:val="0"/>
            <w:vAlign w:val="top"/>
          </w:tcPr>
          <w:p>
            <w:pPr>
              <w:rPr>
                <w:rFonts w:hint="default" w:ascii="CESI仿宋-GB2312" w:hAnsi="CESI仿宋-GB2312" w:eastAsia="CESI仿宋-GB2312" w:cs="CESI仿宋-GB2312"/>
                <w:sz w:val="32"/>
                <w:szCs w:val="32"/>
                <w:vertAlign w:val="baseline"/>
                <w:lang w:val="en-US" w:eastAsia="zh-CN"/>
              </w:rPr>
            </w:pPr>
          </w:p>
        </w:tc>
      </w:tr>
    </w:tbl>
    <w:p>
      <w:pPr>
        <w:rPr>
          <w:rFonts w:hint="eastAsia" w:ascii="CESI仿宋-GB2312" w:hAnsi="CESI仿宋-GB2312" w:eastAsia="CESI仿宋-GB2312" w:cs="CESI仿宋-GB2312"/>
          <w:sz w:val="32"/>
          <w:szCs w:val="32"/>
          <w:lang w:val="en-US" w:eastAsia="zh-CN"/>
        </w:rPr>
      </w:pPr>
    </w:p>
    <w:p>
      <w:pPr>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备注：企业属性填写优势企业、示范企业、小巨人企业。</w:t>
      </w:r>
    </w:p>
    <w:p/>
    <w:p>
      <w:pPr>
        <w:keepNext w:val="0"/>
        <w:keepLines w:val="0"/>
        <w:pageBreakBefore w:val="0"/>
        <w:widowControl/>
        <w:kinsoku/>
        <w:wordWrap/>
        <w:overflowPunct/>
        <w:topLinePunct w:val="0"/>
        <w:autoSpaceDE/>
        <w:autoSpaceDN/>
        <w:bidi w:val="0"/>
        <w:adjustRightInd/>
        <w:snapToGrid/>
        <w:spacing w:line="540" w:lineRule="exact"/>
        <w:ind w:firstLine="500" w:firstLineChars="200"/>
        <w:jc w:val="left"/>
        <w:textAlignment w:val="auto"/>
        <w:rPr>
          <w:rFonts w:hint="eastAsia" w:ascii="方正小标宋简体" w:hAnsi="方正小标宋简体" w:eastAsia="方正小标宋简体" w:cs="方正小标宋简体"/>
          <w:kern w:val="0"/>
          <w:sz w:val="25"/>
          <w:szCs w:val="25"/>
        </w:rPr>
      </w:pPr>
    </w:p>
    <w:p>
      <w:pPr>
        <w:keepNext w:val="0"/>
        <w:keepLines w:val="0"/>
        <w:pageBreakBefore w:val="0"/>
        <w:kinsoku/>
        <w:wordWrap/>
        <w:overflowPunct/>
        <w:topLinePunct w:val="0"/>
        <w:autoSpaceDE/>
        <w:autoSpaceDN/>
        <w:bidi w:val="0"/>
        <w:adjustRightInd/>
        <w:snapToGrid/>
        <w:spacing w:line="540" w:lineRule="exact"/>
        <w:ind w:firstLine="420" w:firstLineChars="200"/>
        <w:textAlignment w:val="auto"/>
        <w:rPr>
          <w:rFonts w:hint="eastAsia" w:ascii="方正小标宋简体" w:hAnsi="方正小标宋简体" w:eastAsia="方正小标宋简体" w:cs="方正小标宋简体"/>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ZTkzMmE3Y2UxYmFjM2UyYzg5ZDNlMzc0NDUxMjcifQ=="/>
  </w:docVars>
  <w:rsids>
    <w:rsidRoot w:val="00753290"/>
    <w:rsid w:val="002D772C"/>
    <w:rsid w:val="003B4DC3"/>
    <w:rsid w:val="00753290"/>
    <w:rsid w:val="00823630"/>
    <w:rsid w:val="00841D56"/>
    <w:rsid w:val="00D97E38"/>
    <w:rsid w:val="00E55892"/>
    <w:rsid w:val="00FA583A"/>
    <w:rsid w:val="04453CAE"/>
    <w:rsid w:val="1DCF6DD3"/>
    <w:rsid w:val="4BE77AEB"/>
    <w:rsid w:val="6E17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link w:val="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Char"/>
    <w:basedOn w:val="7"/>
    <w:link w:val="2"/>
    <w:qFormat/>
    <w:uiPriority w:val="9"/>
    <w:rPr>
      <w:rFonts w:ascii="宋体" w:hAnsi="宋体" w:eastAsia="宋体" w:cs="宋体"/>
      <w:b/>
      <w:bCs/>
      <w:kern w:val="0"/>
      <w:sz w:val="36"/>
      <w:szCs w:val="36"/>
    </w:rPr>
  </w:style>
  <w:style w:type="character" w:customStyle="1" w:styleId="9">
    <w:name w:val="标题 4 Char"/>
    <w:basedOn w:val="7"/>
    <w:link w:val="3"/>
    <w:qFormat/>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Words>
  <Characters>726</Characters>
  <Lines>6</Lines>
  <Paragraphs>1</Paragraphs>
  <TotalTime>0</TotalTime>
  <ScaleCrop>false</ScaleCrop>
  <LinksUpToDate>false</LinksUpToDate>
  <CharactersWithSpaces>852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2023-11-06T02:11:00Z</dcterms:created>
  <dc:creator>Administrator</dc:creator>
  <cp:lastModifiedBy>xyz</cp:lastModifiedBy>
  <dcterms:modified xsi:type="dcterms:W3CDTF">2023-11-06T03:21:26Z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5C35498442E04944B7FA43E66A9E0585_12</vt:lpwstr>
  </property>
</Properties>
</file>