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Nimbus Roman No9 L" w:hAnsi="Nimbus Roman No9 L" w:eastAsia="黑体" w:cs="Nimbus Roman No9 L"/>
          <w:sz w:val="44"/>
          <w:szCs w:val="44"/>
          <w:lang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附件</w:t>
      </w:r>
      <w:r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312" w:beforeLines="100" w:after="312" w:afterLines="100"/>
        <w:jc w:val="center"/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</w:pPr>
      <w:r>
        <w:rPr>
          <w:rFonts w:hint="eastAsia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  <w:lang w:eastAsia="zh-CN"/>
        </w:rPr>
        <w:t>江岸区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  <w:t>绿色制造培育</w:t>
      </w:r>
      <w:r>
        <w:rPr>
          <w:rFonts w:hint="eastAsia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  <w:lang w:eastAsia="zh-CN"/>
        </w:rPr>
        <w:t>计划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  <w:t>汇总表（202</w:t>
      </w:r>
      <w:r>
        <w:rPr>
          <w:rFonts w:hint="eastAsia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  <w:t>年度）</w:t>
      </w:r>
    </w:p>
    <w:p>
      <w:pPr>
        <w:tabs>
          <w:tab w:val="left" w:pos="11760"/>
        </w:tabs>
        <w:spacing w:line="300" w:lineRule="exact"/>
        <w:jc w:val="left"/>
        <w:rPr>
          <w:rFonts w:ascii="Nimbus Roman No9 L" w:hAnsi="Nimbus Roman No9 L" w:eastAsia="仿宋" w:cs="Nimbus Roman No9 L"/>
          <w:kern w:val="0"/>
          <w:sz w:val="24"/>
        </w:rPr>
      </w:pPr>
      <w:r>
        <w:rPr>
          <w:rFonts w:hint="default" w:ascii="Nimbus Roman No9 L" w:hAnsi="Nimbus Roman No9 L" w:eastAsia="仿宋" w:cs="Nimbus Roman No9 L"/>
          <w:kern w:val="0"/>
          <w:sz w:val="24"/>
        </w:rPr>
        <w:t xml:space="preserve">填报单位（公章）：                                          </w:t>
      </w:r>
      <w:r>
        <w:rPr>
          <w:rFonts w:hint="default" w:ascii="Nimbus Roman No9 L" w:hAnsi="Nimbus Roman No9 L" w:eastAsia="仿宋" w:cs="Nimbus Roman No9 L"/>
          <w:kern w:val="0"/>
          <w:sz w:val="24"/>
          <w:lang w:val="en-US" w:eastAsia="zh-CN"/>
        </w:rPr>
        <w:t xml:space="preserve">                     </w:t>
      </w:r>
      <w:r>
        <w:rPr>
          <w:rFonts w:hint="default" w:ascii="Nimbus Roman No9 L" w:hAnsi="Nimbus Roman No9 L" w:eastAsia="仿宋" w:cs="Nimbus Roman No9 L"/>
          <w:kern w:val="0"/>
          <w:sz w:val="24"/>
        </w:rPr>
        <w:t>填表人（联系电话）：</w:t>
      </w:r>
      <w:r>
        <w:rPr>
          <w:rFonts w:hint="default" w:ascii="Nimbus Roman No9 L" w:hAnsi="Nimbus Roman No9 L" w:eastAsia="仿宋" w:cs="Nimbus Roman No9 L"/>
          <w:kern w:val="0"/>
          <w:sz w:val="24"/>
        </w:rPr>
        <w:tab/>
      </w:r>
    </w:p>
    <w:p>
      <w:pPr>
        <w:spacing w:line="300" w:lineRule="exact"/>
        <w:jc w:val="left"/>
        <w:rPr>
          <w:rFonts w:ascii="Nimbus Roman No9 L" w:hAnsi="Nimbus Roman No9 L" w:eastAsia="仿宋" w:cs="Nimbus Roman No9 L"/>
          <w:kern w:val="0"/>
          <w:sz w:val="24"/>
        </w:rPr>
      </w:pPr>
      <w:r>
        <w:rPr>
          <w:rFonts w:hint="default" w:ascii="Nimbus Roman No9 L" w:hAnsi="Nimbus Roman No9 L" w:eastAsia="仿宋" w:cs="Nimbus Roman No9 L"/>
          <w:kern w:val="0"/>
          <w:sz w:val="24"/>
        </w:rPr>
        <w:t>一、绿色工厂</w:t>
      </w:r>
    </w:p>
    <w:tbl>
      <w:tblPr>
        <w:tblStyle w:val="3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371"/>
        <w:gridCol w:w="1039"/>
        <w:gridCol w:w="709"/>
        <w:gridCol w:w="1418"/>
        <w:gridCol w:w="1275"/>
        <w:gridCol w:w="992"/>
        <w:gridCol w:w="2127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单位名称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企业统一社会信用代码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主营业务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产品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培育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层次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行业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产业链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上年度产值（万元）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申报单位联系人及电话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2790"/>
              </w:tabs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备注：1.单位名称应与营业执照完全一致。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2.培育层次从国家级、省级、市级中选填，可多选。已认定各层面绿色制造名单的（同一类别、同一层级）不得重复列入计划，但可列入上一层级培育计划。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3.所属行业：请参考填写国民经济行业四位代码，按钢铁、有色、建材、石化化工、机械装备、汽车、电子、电气、纺织、轻工、食品、造纸、生物医药、通信、其它进行填写。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4.所属产业链请参考光电子信息、新能源与智能网联汽车、生命健康、高端装备、北斗、算力与大数据、人工智能、软件和信息服务、量子科技、现代纺织服装、节能环保、智能家电、新材料、低碳冶金、其他进行填写。</w:t>
      </w:r>
    </w:p>
    <w:p>
      <w:pPr>
        <w:snapToGrid w:val="0"/>
        <w:spacing w:line="240" w:lineRule="atLeast"/>
        <w:ind w:left="1774" w:leftChars="428" w:hanging="456" w:hangingChars="200"/>
        <w:jc w:val="left"/>
        <w:rPr>
          <w:rFonts w:ascii="Nimbus Roman No9 L" w:hAnsi="Nimbus Roman No9 L" w:eastAsia="仿宋" w:cs="Nimbus Roman No9 L"/>
          <w:sz w:val="24"/>
        </w:rPr>
      </w:pPr>
    </w:p>
    <w:p>
      <w:pPr>
        <w:spacing w:line="300" w:lineRule="exact"/>
        <w:jc w:val="left"/>
        <w:rPr>
          <w:rFonts w:ascii="Nimbus Roman No9 L" w:hAnsi="Nimbus Roman No9 L" w:eastAsia="仿宋" w:cs="Nimbus Roman No9 L"/>
          <w:kern w:val="0"/>
          <w:sz w:val="24"/>
        </w:rPr>
      </w:pPr>
      <w:r>
        <w:rPr>
          <w:rFonts w:hint="default" w:ascii="Nimbus Roman No9 L" w:hAnsi="Nimbus Roman No9 L" w:eastAsia="仿宋" w:cs="Nimbus Roman No9 L"/>
          <w:kern w:val="0"/>
          <w:sz w:val="24"/>
        </w:rPr>
        <w:t>二、绿色供应链管理企业</w:t>
      </w:r>
    </w:p>
    <w:tbl>
      <w:tblPr>
        <w:tblStyle w:val="3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296"/>
        <w:gridCol w:w="1114"/>
        <w:gridCol w:w="709"/>
        <w:gridCol w:w="1418"/>
        <w:gridCol w:w="1275"/>
        <w:gridCol w:w="992"/>
        <w:gridCol w:w="993"/>
        <w:gridCol w:w="1141"/>
        <w:gridCol w:w="154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单位名称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企业统一社会信用代码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主营业务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产品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培育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层次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行业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产业链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上年度产值（万元）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是否已创建绿色工厂及其层级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申报单位联系人及电话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275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296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418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275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2790"/>
              </w:tabs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ab/>
            </w:r>
          </w:p>
        </w:tc>
        <w:tc>
          <w:tcPr>
            <w:tcW w:w="1141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</w:tr>
    </w:tbl>
    <w:p>
      <w:pPr>
        <w:snapToGrid w:val="0"/>
        <w:spacing w:line="240" w:lineRule="atLeast"/>
        <w:ind w:firstLine="0" w:firstLineChars="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备注：1.单位名称应与营业执照完全一致。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2.培育层次从国家级、省级、市级中选填，可多选。已认定各层面绿色制造名单的（同一类别、同一层级）不得重复列入计划，但可列入上一层级培育计划。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3.所属行业：请参考填写国民经济行业四位代码，按钢铁、有色、建材、石化化工、机械装备、汽车、电子、电气、纺织、轻工、食品、造纸、生物医药、通信、其它进行填写。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4.所属产业链请参考光电子信息、新能源与智能网联汽车、生命健康、高端装备、北斗、算力与大数据、人工智能、软件和信息服务、量子科技、现代纺织服装、节能环保、智能家电、新材料、低碳冶金、其他进行填写。</w:t>
      </w:r>
    </w:p>
    <w:p>
      <w:pPr>
        <w:snapToGrid w:val="0"/>
        <w:spacing w:line="240" w:lineRule="atLeast"/>
        <w:ind w:left="1614" w:leftChars="228" w:hanging="912" w:hangingChars="4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 xml:space="preserve">    </w:t>
      </w:r>
    </w:p>
    <w:p>
      <w:pPr>
        <w:spacing w:line="300" w:lineRule="exact"/>
        <w:jc w:val="left"/>
        <w:rPr>
          <w:rFonts w:ascii="Nimbus Roman No9 L" w:hAnsi="Nimbus Roman No9 L" w:eastAsia="仿宋" w:cs="Nimbus Roman No9 L"/>
          <w:kern w:val="0"/>
          <w:sz w:val="24"/>
        </w:rPr>
      </w:pPr>
      <w:r>
        <w:rPr>
          <w:rFonts w:hint="default" w:ascii="Nimbus Roman No9 L" w:hAnsi="Nimbus Roman No9 L" w:eastAsia="仿宋" w:cs="Nimbus Roman No9 L"/>
          <w:kern w:val="0"/>
          <w:sz w:val="24"/>
        </w:rPr>
        <w:t>三、绿色工业园区</w:t>
      </w:r>
    </w:p>
    <w:tbl>
      <w:tblPr>
        <w:tblStyle w:val="3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21"/>
        <w:gridCol w:w="1205"/>
        <w:gridCol w:w="992"/>
        <w:gridCol w:w="992"/>
        <w:gridCol w:w="851"/>
        <w:gridCol w:w="1134"/>
        <w:gridCol w:w="1559"/>
        <w:gridCol w:w="1559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单位名称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园区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类型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园区主导产业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培育</w:t>
            </w:r>
          </w:p>
          <w:p>
            <w:pPr>
              <w:spacing w:line="300" w:lineRule="exact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层次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3" w:lineRule="auto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上年度工业增加值占比（%）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3" w:lineRule="auto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是否有统一管理机构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3" w:lineRule="auto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是否为省级以上工业园区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3" w:lineRule="auto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园区内绿色工厂数量（个）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3" w:lineRule="auto"/>
              <w:jc w:val="center"/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申报单位联系人及电话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921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992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851" w:type="dxa"/>
            <w:noWrap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2790"/>
              </w:tabs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>　</w:t>
            </w:r>
            <w:r>
              <w:rPr>
                <w:rFonts w:hint="default" w:ascii="Nimbus Roman No9 L" w:hAnsi="Nimbus Roman No9 L" w:eastAsia="仿宋" w:cs="Nimbus Roman No9 L"/>
                <w:kern w:val="0"/>
                <w:sz w:val="24"/>
              </w:rPr>
              <w:tab/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Nimbus Roman No9 L" w:hAnsi="Nimbus Roman No9 L" w:eastAsia="仿宋" w:cs="Nimbus Roman No9 L"/>
                <w:kern w:val="0"/>
                <w:sz w:val="24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备注：1.单位名称应与园区的批复文件一致。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2.类型主要包括经济技术开发区、高新技术产业开发区、保税区、边境经济合作区、出口加工区、保税港区、新区、自贸区、</w:t>
      </w:r>
    </w:p>
    <w:p>
      <w:pPr>
        <w:snapToGrid w:val="0"/>
        <w:spacing w:line="240" w:lineRule="atLeast"/>
        <w:ind w:firstLine="0" w:firstLineChars="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省级开发区等。</w:t>
      </w:r>
    </w:p>
    <w:p>
      <w:pPr>
        <w:snapToGrid w:val="0"/>
        <w:spacing w:line="240" w:lineRule="atLeast"/>
        <w:ind w:left="0" w:leftChars="0" w:firstLine="684" w:firstLineChars="300"/>
        <w:jc w:val="left"/>
        <w:rPr>
          <w:rFonts w:ascii="Nimbus Roman No9 L" w:hAnsi="Nimbus Roman No9 L" w:eastAsia="仿宋" w:cs="Nimbus Roman No9 L"/>
          <w:sz w:val="24"/>
        </w:rPr>
      </w:pPr>
      <w:r>
        <w:rPr>
          <w:rFonts w:hint="default" w:ascii="Nimbus Roman No9 L" w:hAnsi="Nimbus Roman No9 L" w:eastAsia="仿宋" w:cs="Nimbus Roman No9 L"/>
          <w:sz w:val="24"/>
        </w:rPr>
        <w:t>3.培育层次从国家级、省级、市级中选填，可多选。已认定各层面绿色制造名单的（同一类别、同一层级）不得重复列入计</w:t>
      </w:r>
    </w:p>
    <w:p>
      <w:pPr>
        <w:snapToGrid w:val="0"/>
        <w:spacing w:line="240" w:lineRule="atLeast"/>
        <w:ind w:left="0" w:leftChars="0" w:firstLine="0" w:firstLineChars="0"/>
        <w:jc w:val="left"/>
      </w:pPr>
      <w:r>
        <w:rPr>
          <w:rFonts w:hint="default" w:ascii="Nimbus Roman No9 L" w:hAnsi="Nimbus Roman No9 L" w:eastAsia="仿宋" w:cs="Nimbus Roman No9 L"/>
          <w:sz w:val="24"/>
        </w:rPr>
        <w:t>划，但可列入上一层级培育计划。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F894E"/>
    <w:rsid w:val="4BA754B7"/>
    <w:rsid w:val="778D3A9A"/>
    <w:rsid w:val="DDBF7168"/>
    <w:rsid w:val="FE6DC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user</cp:lastModifiedBy>
  <dcterms:modified xsi:type="dcterms:W3CDTF">2025-04-15T08:57:23Z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24DA2B8F4FABD9F0DE63FC67AFFEF1D2</vt:lpwstr>
  </property>
</Properties>
</file>