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9E990">
      <w:pPr>
        <w:spacing w:line="550" w:lineRule="exact"/>
        <w:jc w:val="center"/>
        <w:rPr>
          <w:rFonts w:ascii="方正小标宋简体" w:hAnsi="黑体" w:eastAsia="方正小标宋简体"/>
          <w:sz w:val="44"/>
          <w:szCs w:val="44"/>
        </w:rPr>
      </w:pPr>
    </w:p>
    <w:p w14:paraId="3996F429">
      <w:pPr>
        <w:spacing w:line="550" w:lineRule="exact"/>
        <w:jc w:val="center"/>
        <w:rPr>
          <w:rFonts w:hint="default" w:ascii="方正小标宋_GBK" w:hAnsi="方正小标宋_GBK" w:eastAsia="方正小标宋_GBK" w:cs="方正小标宋_GBK"/>
          <w:snapToGrid w:val="0"/>
          <w:color w:val="000000"/>
          <w:spacing w:val="0"/>
          <w:kern w:val="0"/>
          <w:sz w:val="44"/>
          <w:szCs w:val="44"/>
          <w:highlight w:val="none"/>
          <w:lang w:val="en-US" w:eastAsia="zh-CN" w:bidi="ar-SA"/>
        </w:rPr>
      </w:pPr>
      <w:bookmarkStart w:id="0" w:name="OLE_LINK11"/>
      <w:r>
        <w:rPr>
          <w:rFonts w:hint="eastAsia" w:ascii="方正小标宋简体" w:hAnsi="黑体" w:eastAsia="方正小标宋简体"/>
          <w:sz w:val="44"/>
          <w:szCs w:val="44"/>
        </w:rPr>
        <w:t>关于公开征集江岸区</w:t>
      </w:r>
      <w:r>
        <w:rPr>
          <w:rFonts w:hint="eastAsia" w:ascii="方正小标宋_GBK" w:hAnsi="方正小标宋_GBK" w:eastAsia="方正小标宋_GBK" w:cs="方正小标宋_GBK"/>
          <w:snapToGrid w:val="0"/>
          <w:color w:val="000000"/>
          <w:spacing w:val="0"/>
          <w:kern w:val="0"/>
          <w:sz w:val="44"/>
          <w:szCs w:val="44"/>
          <w:highlight w:val="none"/>
          <w:lang w:val="en-US" w:eastAsia="zh-CN" w:bidi="ar-SA"/>
        </w:rPr>
        <w:t>Token</w:t>
      </w:r>
      <w:r>
        <w:rPr>
          <w:rFonts w:hint="default" w:ascii="方正小标宋_GBK" w:hAnsi="方正小标宋_GBK" w:eastAsia="方正小标宋_GBK" w:cs="方正小标宋_GBK"/>
          <w:snapToGrid w:val="0"/>
          <w:color w:val="000000"/>
          <w:spacing w:val="0"/>
          <w:kern w:val="0"/>
          <w:sz w:val="44"/>
          <w:szCs w:val="44"/>
          <w:highlight w:val="none"/>
          <w:lang w:val="en-US" w:eastAsia="zh-CN" w:bidi="ar-SA"/>
        </w:rPr>
        <w:t>服务商</w:t>
      </w:r>
    </w:p>
    <w:p w14:paraId="74543DE9">
      <w:pPr>
        <w:spacing w:line="55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的通知</w:t>
      </w:r>
      <w:r>
        <w:rPr>
          <w:rFonts w:hint="eastAsia" w:ascii="方正小标宋简体" w:hAnsi="黑体" w:eastAsia="方正小标宋简体"/>
          <w:sz w:val="44"/>
          <w:szCs w:val="44"/>
          <w:lang w:eastAsia="zh-CN"/>
        </w:rPr>
        <w:t>（第一批）</w:t>
      </w:r>
    </w:p>
    <w:bookmarkEnd w:id="0"/>
    <w:p w14:paraId="1F758004">
      <w:pPr>
        <w:spacing w:line="550" w:lineRule="exact"/>
        <w:jc w:val="center"/>
        <w:rPr>
          <w:rFonts w:ascii="方正小标宋简体" w:hAnsi="黑体" w:eastAsia="方正小标宋简体"/>
          <w:sz w:val="44"/>
          <w:szCs w:val="44"/>
        </w:rPr>
      </w:pPr>
    </w:p>
    <w:p w14:paraId="3D34AD59">
      <w:pPr>
        <w:keepNext w:val="0"/>
        <w:keepLines w:val="0"/>
        <w:pageBreakBefore w:val="0"/>
        <w:widowControl w:val="0"/>
        <w:kinsoku/>
        <w:overflowPunct/>
        <w:topLinePunct w:val="0"/>
        <w:autoSpaceDE/>
        <w:autoSpaceDN/>
        <w:bidi w:val="0"/>
        <w:adjustRightInd/>
        <w:snapToGrid/>
        <w:spacing w:line="570" w:lineRule="exact"/>
        <w:textAlignment w:val="auto"/>
        <w:rPr>
          <w:rFonts w:ascii="仿宋_GB2312" w:eastAsia="仿宋_GB2312"/>
          <w:sz w:val="32"/>
          <w:szCs w:val="32"/>
        </w:rPr>
      </w:pPr>
      <w:r>
        <w:rPr>
          <w:rFonts w:hint="eastAsia" w:ascii="仿宋_GB2312" w:eastAsia="仿宋_GB2312"/>
          <w:sz w:val="32"/>
          <w:szCs w:val="32"/>
        </w:rPr>
        <w:t>各相关企业：</w:t>
      </w:r>
    </w:p>
    <w:p w14:paraId="7BF66ECF">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为抢抓数智经济发展重大战略机遇，构建江岸区Token产业生态体系，降低辖区企业Token服务使用成本，现面向社会公开征集</w:t>
      </w:r>
      <w:r>
        <w:rPr>
          <w:rFonts w:hint="eastAsia" w:ascii="仿宋_GB2312" w:eastAsia="仿宋_GB2312"/>
          <w:sz w:val="32"/>
          <w:szCs w:val="32"/>
          <w:lang w:eastAsia="zh-CN"/>
        </w:rPr>
        <w:t>江岸区</w:t>
      </w:r>
      <w:r>
        <w:rPr>
          <w:rFonts w:hint="eastAsia" w:ascii="仿宋_GB2312" w:eastAsia="仿宋_GB2312"/>
          <w:sz w:val="32"/>
          <w:szCs w:val="32"/>
          <w:lang w:val="en-US" w:eastAsia="zh-CN"/>
        </w:rPr>
        <w:t>Token</w:t>
      </w:r>
      <w:r>
        <w:rPr>
          <w:rFonts w:hint="eastAsia" w:ascii="仿宋_GB2312" w:eastAsia="仿宋_GB2312"/>
          <w:sz w:val="32"/>
          <w:szCs w:val="32"/>
        </w:rPr>
        <w:t>服务商，有关事项通知如下：</w:t>
      </w:r>
    </w:p>
    <w:p w14:paraId="374B2FD5">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一、征集范围</w:t>
      </w:r>
    </w:p>
    <w:p w14:paraId="679F0ADF">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次征集并通过认定的服务商，将正式纳入江岸区Token服务商名单库，为江岸区企业提供合规、稳定的Token调用服务。辖区企业向入库服务商购买Token相关服务，符合条件的可申领Token服务补贴，单个企业年度最高30万元。</w:t>
      </w:r>
    </w:p>
    <w:p w14:paraId="34513517">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二、服务商基本条件</w:t>
      </w:r>
    </w:p>
    <w:p w14:paraId="7B469459">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（一）申报主体应当具备独立法人资格，在江岸区开展经营活动；</w:t>
      </w:r>
    </w:p>
    <w:p w14:paraId="36401A79">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（二）申报主体应当具备完善的Token服务技术架构，可实现7×24小时稳定运行；</w:t>
      </w:r>
    </w:p>
    <w:p w14:paraId="750BAEBC">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（三）申报主体应当具有较强的技术研发和服务能力，在江岸区设有能提供长期、稳定服务的常驻专业团队，具备对外提供Token服务的能力；</w:t>
      </w:r>
    </w:p>
    <w:p w14:paraId="03239991">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（四）申报主体应当持有通过国家网信办备案的通用大模型运营权或获得该备案大模型官方授权；</w:t>
      </w:r>
    </w:p>
    <w:p w14:paraId="5740CBDA">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（五）申报主体应当具备日均 Token 处理能力≥10000万Token，峰值并发支持≥1000路同时调用；</w:t>
      </w:r>
    </w:p>
    <w:p w14:paraId="4CFEC684">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（六）已通过江岸区算力服务商认定的企业,若其自建Token服务平台的运营主体（含第三方）在江岸区开展经营活动，该运营主体可免予申报，直接取得Token服务商资格。</w:t>
      </w:r>
    </w:p>
    <w:p w14:paraId="7A084AB4">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三、报名要求</w:t>
      </w:r>
    </w:p>
    <w:p w14:paraId="67ED7771">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（一）申报时间</w:t>
      </w:r>
    </w:p>
    <w:p w14:paraId="1DC4B3A6">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自本通知发布之日起至2026年</w:t>
      </w:r>
      <w:r>
        <w:rPr>
          <w:rFonts w:hint="eastAsia" w:ascii="仿宋_GB2312" w:eastAsia="仿宋_GB2312"/>
          <w:sz w:val="32"/>
          <w:szCs w:val="32"/>
          <w:lang w:val="en-US" w:eastAsia="zh-CN"/>
        </w:rPr>
        <w:t>7</w:t>
      </w:r>
      <w:r>
        <w:rPr>
          <w:rFonts w:hint="eastAsia" w:ascii="仿宋_GB2312" w:eastAsia="仿宋_GB2312"/>
          <w:sz w:val="32"/>
          <w:szCs w:val="32"/>
          <w:lang w:eastAsia="zh-CN"/>
        </w:rPr>
        <w:t>月</w:t>
      </w:r>
      <w:r>
        <w:rPr>
          <w:rFonts w:hint="eastAsia" w:ascii="仿宋_GB2312" w:eastAsia="仿宋_GB2312"/>
          <w:sz w:val="32"/>
          <w:szCs w:val="32"/>
          <w:lang w:val="en-US" w:eastAsia="zh-CN"/>
        </w:rPr>
        <w:t>15</w:t>
      </w:r>
      <w:r>
        <w:rPr>
          <w:rFonts w:hint="eastAsia" w:ascii="仿宋_GB2312" w:eastAsia="仿宋_GB2312"/>
          <w:sz w:val="32"/>
          <w:szCs w:val="32"/>
          <w:lang w:eastAsia="zh-CN"/>
        </w:rPr>
        <w:t>日17:00 止，逾期不再受理。</w:t>
      </w:r>
    </w:p>
    <w:p w14:paraId="2A9E76C5">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（二）申报方式</w:t>
      </w:r>
    </w:p>
    <w:p w14:paraId="74D08708">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请符合条件的企业，填报江岸区Token服务商申报书和其他报名材料加盖单位公章后（详见附件），提交至江岸区经科局</w:t>
      </w:r>
      <w:r>
        <w:rPr>
          <w:rFonts w:hint="eastAsia" w:ascii="仿宋_GB2312" w:eastAsia="仿宋_GB2312"/>
          <w:sz w:val="32"/>
          <w:szCs w:val="32"/>
          <w:lang w:val="en-US" w:eastAsia="zh-CN"/>
        </w:rPr>
        <w:t>3楼320室（江岸区金桥大道26号），电子版发送至指定邮箱：jaqkjjjjyxk@163.com</w:t>
      </w:r>
      <w:r>
        <w:rPr>
          <w:rFonts w:hint="eastAsia" w:ascii="仿宋_GB2312" w:eastAsia="仿宋_GB2312"/>
          <w:sz w:val="32"/>
          <w:szCs w:val="32"/>
          <w:lang w:eastAsia="zh-CN"/>
        </w:rPr>
        <w:t>。</w:t>
      </w:r>
    </w:p>
    <w:p w14:paraId="10662414">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黑体" w:hAnsi="黑体" w:eastAsia="黑体"/>
          <w:sz w:val="32"/>
          <w:szCs w:val="32"/>
        </w:rPr>
      </w:pPr>
      <w:r>
        <w:rPr>
          <w:rFonts w:hint="eastAsia" w:ascii="黑体" w:hAnsi="黑体" w:eastAsia="黑体"/>
          <w:sz w:val="32"/>
          <w:szCs w:val="32"/>
        </w:rPr>
        <w:t>四、联系方式</w:t>
      </w:r>
    </w:p>
    <w:p w14:paraId="3B5728EE">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联系人：</w:t>
      </w:r>
      <w:r>
        <w:rPr>
          <w:rFonts w:hint="eastAsia" w:ascii="仿宋_GB2312" w:eastAsia="仿宋_GB2312"/>
          <w:sz w:val="32"/>
          <w:szCs w:val="32"/>
          <w:lang w:val="en-US" w:eastAsia="zh-CN"/>
        </w:rPr>
        <w:t>周紫荆</w:t>
      </w:r>
    </w:p>
    <w:p w14:paraId="061D409A">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联系电话：027-85320</w:t>
      </w:r>
      <w:r>
        <w:rPr>
          <w:rFonts w:hint="eastAsia" w:ascii="仿宋_GB2312" w:eastAsia="仿宋_GB2312"/>
          <w:sz w:val="32"/>
          <w:szCs w:val="32"/>
          <w:lang w:val="en-US" w:eastAsia="zh-CN"/>
        </w:rPr>
        <w:t>175</w:t>
      </w:r>
    </w:p>
    <w:p w14:paraId="4E027CFC">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仿宋_GB2312" w:eastAsia="仿宋_GB2312"/>
          <w:sz w:val="32"/>
          <w:szCs w:val="32"/>
        </w:rPr>
      </w:pPr>
    </w:p>
    <w:p w14:paraId="0867590A">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附件：</w:t>
      </w:r>
      <w:bookmarkStart w:id="1" w:name="OLE_LINK9"/>
      <w:r>
        <w:rPr>
          <w:rFonts w:hint="eastAsia" w:ascii="仿宋_GB2312" w:eastAsia="仿宋_GB2312"/>
          <w:sz w:val="32"/>
          <w:szCs w:val="32"/>
          <w:lang w:eastAsia="zh-CN"/>
        </w:rPr>
        <w:t>江岸区</w:t>
      </w:r>
      <w:r>
        <w:rPr>
          <w:rFonts w:hint="eastAsia" w:ascii="仿宋_GB2312" w:eastAsia="仿宋_GB2312"/>
          <w:sz w:val="32"/>
          <w:szCs w:val="32"/>
          <w:lang w:val="en-US" w:eastAsia="zh-CN"/>
        </w:rPr>
        <w:t>Token</w:t>
      </w:r>
      <w:r>
        <w:rPr>
          <w:rFonts w:hint="eastAsia" w:ascii="仿宋_GB2312" w:eastAsia="仿宋_GB2312"/>
          <w:sz w:val="32"/>
          <w:szCs w:val="32"/>
          <w:lang w:eastAsia="zh-CN"/>
        </w:rPr>
        <w:t>服务商申报书</w:t>
      </w:r>
      <w:bookmarkEnd w:id="1"/>
    </w:p>
    <w:p w14:paraId="1B580BEE">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default" w:ascii="仿宋_GB2312" w:eastAsia="仿宋_GB2312"/>
          <w:color w:val="FF0000"/>
          <w:sz w:val="32"/>
          <w:szCs w:val="32"/>
          <w:lang w:val="en-US" w:eastAsia="zh-CN"/>
        </w:rPr>
      </w:pPr>
      <w:r>
        <w:rPr>
          <w:rFonts w:hint="eastAsia" w:ascii="仿宋_GB2312" w:eastAsia="仿宋_GB2312"/>
          <w:sz w:val="32"/>
          <w:szCs w:val="32"/>
          <w:lang w:val="en-US" w:eastAsia="zh-CN"/>
        </w:rPr>
        <w:t xml:space="preserve">    </w:t>
      </w:r>
    </w:p>
    <w:p w14:paraId="47C6AF87">
      <w:pPr>
        <w:keepNext w:val="0"/>
        <w:keepLines w:val="0"/>
        <w:pageBreakBefore w:val="0"/>
        <w:widowControl w:val="0"/>
        <w:kinsoku/>
        <w:wordWrap w:val="0"/>
        <w:overflowPunct/>
        <w:topLinePunct w:val="0"/>
        <w:autoSpaceDE/>
        <w:autoSpaceDN/>
        <w:bidi w:val="0"/>
        <w:adjustRightInd/>
        <w:snapToGrid/>
        <w:spacing w:line="570" w:lineRule="exact"/>
        <w:ind w:firstLine="960" w:firstLineChars="300"/>
        <w:jc w:val="right"/>
        <w:textAlignment w:val="auto"/>
        <w:rPr>
          <w:rFonts w:hint="eastAsia" w:ascii="仿宋_GB2312" w:eastAsia="仿宋_GB2312"/>
          <w:sz w:val="32"/>
          <w:szCs w:val="32"/>
        </w:rPr>
      </w:pPr>
    </w:p>
    <w:p w14:paraId="745FEB58">
      <w:pPr>
        <w:keepNext w:val="0"/>
        <w:keepLines w:val="0"/>
        <w:pageBreakBefore w:val="0"/>
        <w:widowControl w:val="0"/>
        <w:kinsoku/>
        <w:wordWrap w:val="0"/>
        <w:overflowPunct/>
        <w:topLinePunct w:val="0"/>
        <w:autoSpaceDE/>
        <w:autoSpaceDN/>
        <w:bidi w:val="0"/>
        <w:adjustRightInd/>
        <w:snapToGrid/>
        <w:spacing w:line="570" w:lineRule="exact"/>
        <w:ind w:firstLine="960" w:firstLineChars="300"/>
        <w:jc w:val="right"/>
        <w:textAlignment w:val="auto"/>
        <w:rPr>
          <w:rFonts w:ascii="仿宋_GB2312" w:eastAsia="仿宋_GB2312"/>
          <w:sz w:val="32"/>
          <w:szCs w:val="32"/>
        </w:rPr>
      </w:pPr>
      <w:r>
        <w:rPr>
          <w:rFonts w:hint="eastAsia" w:ascii="仿宋_GB2312" w:eastAsia="仿宋_GB2312"/>
          <w:sz w:val="32"/>
          <w:szCs w:val="32"/>
        </w:rPr>
        <w:t xml:space="preserve">江岸区经信和科创局 </w:t>
      </w:r>
    </w:p>
    <w:p w14:paraId="70F7371C">
      <w:pPr>
        <w:keepNext w:val="0"/>
        <w:keepLines w:val="0"/>
        <w:pageBreakBefore w:val="0"/>
        <w:widowControl w:val="0"/>
        <w:kinsoku/>
        <w:overflowPunct/>
        <w:topLinePunct w:val="0"/>
        <w:autoSpaceDE/>
        <w:autoSpaceDN/>
        <w:bidi w:val="0"/>
        <w:adjustRightInd/>
        <w:snapToGrid/>
        <w:spacing w:line="570" w:lineRule="exact"/>
        <w:ind w:right="320" w:firstLine="640" w:firstLineChars="200"/>
        <w:jc w:val="right"/>
        <w:textAlignment w:val="auto"/>
        <w:rPr>
          <w:rFonts w:ascii="仿宋_GB2312" w:eastAsia="仿宋_GB2312"/>
          <w:sz w:val="32"/>
          <w:szCs w:val="32"/>
        </w:rPr>
      </w:pPr>
      <w:r>
        <w:rPr>
          <w:rFonts w:hint="eastAsia" w:ascii="仿宋_GB2312" w:eastAsia="仿宋_GB2312"/>
          <w:sz w:val="32"/>
          <w:szCs w:val="32"/>
        </w:rPr>
        <w:t>2026年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p>
    <w:p w14:paraId="5353AEEB">
      <w:pPr>
        <w:spacing w:line="550" w:lineRule="exact"/>
        <w:ind w:firstLine="640" w:firstLineChars="200"/>
        <w:rPr>
          <w:rFonts w:ascii="仿宋_GB2312" w:eastAsia="仿宋_GB2312"/>
          <w:sz w:val="32"/>
          <w:szCs w:val="32"/>
        </w:rPr>
      </w:pPr>
    </w:p>
    <w:p w14:paraId="4B1AA6F5">
      <w:pPr>
        <w:spacing w:line="550" w:lineRule="exact"/>
        <w:ind w:firstLine="640" w:firstLineChars="200"/>
        <w:rPr>
          <w:rFonts w:ascii="仿宋_GB2312" w:eastAsia="仿宋_GB2312"/>
          <w:sz w:val="32"/>
          <w:szCs w:val="32"/>
        </w:rPr>
        <w:sectPr>
          <w:pgSz w:w="11906" w:h="16838"/>
          <w:pgMar w:top="1440" w:right="1800" w:bottom="1440" w:left="1800" w:header="851" w:footer="992" w:gutter="0"/>
          <w:cols w:space="425" w:num="1"/>
          <w:docGrid w:type="lines" w:linePitch="312" w:charSpace="0"/>
        </w:sectPr>
      </w:pPr>
    </w:p>
    <w:p w14:paraId="5CE21E2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0" w:lineRule="exact"/>
        <w:ind w:right="0"/>
        <w:jc w:val="left"/>
        <w:textAlignment w:val="auto"/>
        <w:outlineLvl w:val="0"/>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附件</w:t>
      </w:r>
    </w:p>
    <w:p w14:paraId="2EFD8912">
      <w:pPr>
        <w:widowControl/>
        <w:spacing w:line="560" w:lineRule="exact"/>
        <w:rPr>
          <w:rFonts w:hint="eastAsia" w:ascii="Times New Roman" w:hAnsi="Times New Roman" w:eastAsia="黑体" w:cs="Times New Roman"/>
          <w:sz w:val="32"/>
          <w:szCs w:val="24"/>
        </w:rPr>
      </w:pPr>
    </w:p>
    <w:p w14:paraId="37EE7C23">
      <w:pPr>
        <w:keepNext w:val="0"/>
        <w:keepLines w:val="0"/>
        <w:pageBreakBefore w:val="0"/>
        <w:widowControl w:val="0"/>
        <w:kinsoku/>
        <w:wordWrap w:val="0"/>
        <w:overflowPunct/>
        <w:topLinePunct/>
        <w:autoSpaceDE/>
        <w:autoSpaceDN/>
        <w:bidi w:val="0"/>
        <w:adjustRightInd/>
        <w:snapToGrid/>
        <w:spacing w:before="0" w:after="0" w:line="560" w:lineRule="exact"/>
        <w:ind w:left="0"/>
        <w:jc w:val="center"/>
        <w:textAlignment w:val="auto"/>
        <w:outlineLvl w:val="0"/>
        <w:rPr>
          <w:rFonts w:hint="eastAsia" w:ascii="方正小标宋_GBK" w:hAnsi="方正小标宋_GBK" w:eastAsia="方正小标宋_GBK" w:cs="方正小标宋_GBK"/>
          <w:b w:val="0"/>
          <w:bCs w:val="0"/>
          <w:kern w:val="0"/>
          <w:sz w:val="44"/>
          <w:szCs w:val="44"/>
          <w:highlight w:val="none"/>
          <w:lang w:val="en-US" w:eastAsia="zh-CN"/>
        </w:rPr>
      </w:pPr>
      <w:r>
        <w:rPr>
          <w:rFonts w:hint="eastAsia" w:ascii="方正小标宋_GBK" w:hAnsi="方正小标宋_GBK" w:eastAsia="方正小标宋_GBK" w:cs="方正小标宋_GBK"/>
          <w:b w:val="0"/>
          <w:bCs w:val="0"/>
          <w:kern w:val="0"/>
          <w:sz w:val="44"/>
          <w:szCs w:val="44"/>
          <w:highlight w:val="none"/>
          <w:lang w:val="en-US" w:eastAsia="zh-CN"/>
        </w:rPr>
        <w:t>江岸区Token服务商申报书</w:t>
      </w:r>
    </w:p>
    <w:p w14:paraId="3863D159">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ascii="仿宋" w:hAnsi="仿宋" w:eastAsia="仿宋" w:cs="Times New Roman"/>
          <w:kern w:val="0"/>
          <w:sz w:val="32"/>
          <w:highlight w:val="none"/>
          <w:lang w:eastAsia="en-US"/>
        </w:rPr>
      </w:pPr>
      <w:r>
        <w:rPr>
          <w:rFonts w:ascii="黑体" w:hAnsi="黑体" w:eastAsia="黑体" w:cs="Times New Roman"/>
          <w:kern w:val="0"/>
          <w:sz w:val="32"/>
          <w:highlight w:val="none"/>
          <w:lang w:eastAsia="en-US"/>
        </w:rPr>
        <w:t>一、企业基本信息</w:t>
      </w:r>
    </w:p>
    <w:tbl>
      <w:tblPr>
        <w:tblStyle w:val="20"/>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355"/>
        <w:gridCol w:w="1320"/>
        <w:gridCol w:w="1419"/>
        <w:gridCol w:w="2837"/>
      </w:tblGrid>
      <w:tr w14:paraId="5332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1" w:type="dxa"/>
            <w:vMerge w:val="restart"/>
            <w:noWrap w:val="0"/>
            <w:vAlign w:val="center"/>
          </w:tcPr>
          <w:p w14:paraId="493FDB3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基本信息</w:t>
            </w:r>
          </w:p>
        </w:tc>
        <w:tc>
          <w:tcPr>
            <w:tcW w:w="2355" w:type="dxa"/>
            <w:noWrap w:val="0"/>
            <w:vAlign w:val="center"/>
          </w:tcPr>
          <w:p w14:paraId="2303580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申报单位</w:t>
            </w:r>
          </w:p>
        </w:tc>
        <w:tc>
          <w:tcPr>
            <w:tcW w:w="5576" w:type="dxa"/>
            <w:gridSpan w:val="3"/>
            <w:noWrap w:val="0"/>
            <w:vAlign w:val="center"/>
          </w:tcPr>
          <w:p w14:paraId="40FBE17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r>
      <w:tr w14:paraId="41D5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1" w:type="dxa"/>
            <w:vMerge w:val="continue"/>
            <w:noWrap w:val="0"/>
            <w:vAlign w:val="top"/>
          </w:tcPr>
          <w:p w14:paraId="50A7C06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c>
          <w:tcPr>
            <w:tcW w:w="2355" w:type="dxa"/>
            <w:noWrap w:val="0"/>
            <w:vAlign w:val="center"/>
          </w:tcPr>
          <w:p w14:paraId="386DE5D8">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注册地址</w:t>
            </w:r>
          </w:p>
        </w:tc>
        <w:tc>
          <w:tcPr>
            <w:tcW w:w="5576" w:type="dxa"/>
            <w:gridSpan w:val="3"/>
            <w:noWrap w:val="0"/>
            <w:vAlign w:val="center"/>
          </w:tcPr>
          <w:p w14:paraId="2EF59D9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r>
      <w:tr w14:paraId="7C03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51" w:type="dxa"/>
            <w:vMerge w:val="continue"/>
            <w:noWrap w:val="0"/>
            <w:vAlign w:val="top"/>
          </w:tcPr>
          <w:p w14:paraId="1A7DB35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c>
          <w:tcPr>
            <w:tcW w:w="2355" w:type="dxa"/>
            <w:noWrap w:val="0"/>
            <w:vAlign w:val="center"/>
          </w:tcPr>
          <w:p w14:paraId="3BDD006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企业类型</w:t>
            </w:r>
          </w:p>
        </w:tc>
        <w:tc>
          <w:tcPr>
            <w:tcW w:w="5576" w:type="dxa"/>
            <w:gridSpan w:val="3"/>
            <w:noWrap w:val="0"/>
            <w:vAlign w:val="center"/>
          </w:tcPr>
          <w:p w14:paraId="5646F5B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 xml:space="preserve">□央国企  □外企  </w:t>
            </w:r>
            <w:r>
              <w:rPr>
                <w:rFonts w:hint="eastAsia" w:ascii="仿宋" w:hAnsi="仿宋" w:eastAsia="仿宋" w:cs="Times New Roman"/>
                <w:kern w:val="0"/>
                <w:sz w:val="28"/>
                <w:szCs w:val="21"/>
                <w:highlight w:val="none"/>
                <w:lang w:eastAsia="zh-CN"/>
              </w:rPr>
              <w:t>□</w:t>
            </w:r>
            <w:r>
              <w:rPr>
                <w:rFonts w:ascii="仿宋" w:hAnsi="仿宋" w:eastAsia="仿宋" w:cs="Times New Roman"/>
                <w:kern w:val="0"/>
                <w:sz w:val="28"/>
                <w:szCs w:val="21"/>
                <w:highlight w:val="none"/>
                <w:lang w:eastAsia="en-US"/>
              </w:rPr>
              <w:t>民营企业  □其他</w:t>
            </w:r>
          </w:p>
        </w:tc>
      </w:tr>
      <w:tr w14:paraId="143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51" w:type="dxa"/>
            <w:vMerge w:val="continue"/>
            <w:noWrap w:val="0"/>
            <w:vAlign w:val="top"/>
          </w:tcPr>
          <w:p w14:paraId="6785F8F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c>
          <w:tcPr>
            <w:tcW w:w="2355" w:type="dxa"/>
            <w:noWrap w:val="0"/>
            <w:vAlign w:val="center"/>
          </w:tcPr>
          <w:p w14:paraId="5CCCAA6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成立时间</w:t>
            </w:r>
          </w:p>
        </w:tc>
        <w:tc>
          <w:tcPr>
            <w:tcW w:w="5576" w:type="dxa"/>
            <w:gridSpan w:val="3"/>
            <w:noWrap w:val="0"/>
            <w:vAlign w:val="center"/>
          </w:tcPr>
          <w:p w14:paraId="12B79D5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r>
      <w:tr w14:paraId="03A4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1" w:type="dxa"/>
            <w:vMerge w:val="continue"/>
            <w:noWrap w:val="0"/>
            <w:vAlign w:val="top"/>
          </w:tcPr>
          <w:p w14:paraId="451A643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c>
          <w:tcPr>
            <w:tcW w:w="2355" w:type="dxa"/>
            <w:noWrap w:val="0"/>
            <w:vAlign w:val="center"/>
          </w:tcPr>
          <w:p w14:paraId="1E9FD1B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企业法人</w:t>
            </w:r>
          </w:p>
        </w:tc>
        <w:tc>
          <w:tcPr>
            <w:tcW w:w="1320" w:type="dxa"/>
            <w:noWrap w:val="0"/>
            <w:vAlign w:val="center"/>
          </w:tcPr>
          <w:p w14:paraId="45F2390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c>
          <w:tcPr>
            <w:tcW w:w="1419" w:type="dxa"/>
            <w:noWrap w:val="0"/>
            <w:vAlign w:val="center"/>
          </w:tcPr>
          <w:p w14:paraId="3ACD0C9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联系方式</w:t>
            </w:r>
          </w:p>
        </w:tc>
        <w:tc>
          <w:tcPr>
            <w:tcW w:w="2837" w:type="dxa"/>
            <w:noWrap w:val="0"/>
            <w:vAlign w:val="center"/>
          </w:tcPr>
          <w:p w14:paraId="43CF5CD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r>
      <w:tr w14:paraId="3D42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51" w:type="dxa"/>
            <w:vMerge w:val="continue"/>
            <w:noWrap w:val="0"/>
            <w:vAlign w:val="top"/>
          </w:tcPr>
          <w:p w14:paraId="5086E1F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c>
          <w:tcPr>
            <w:tcW w:w="2355" w:type="dxa"/>
            <w:noWrap w:val="0"/>
            <w:vAlign w:val="center"/>
          </w:tcPr>
          <w:p w14:paraId="66335AA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企业联系人</w:t>
            </w:r>
          </w:p>
        </w:tc>
        <w:tc>
          <w:tcPr>
            <w:tcW w:w="1320" w:type="dxa"/>
            <w:noWrap w:val="0"/>
            <w:vAlign w:val="center"/>
          </w:tcPr>
          <w:p w14:paraId="323ED02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c>
          <w:tcPr>
            <w:tcW w:w="1419" w:type="dxa"/>
            <w:noWrap w:val="0"/>
            <w:vAlign w:val="center"/>
          </w:tcPr>
          <w:p w14:paraId="142E473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联系方式</w:t>
            </w:r>
          </w:p>
        </w:tc>
        <w:tc>
          <w:tcPr>
            <w:tcW w:w="2837" w:type="dxa"/>
            <w:noWrap w:val="0"/>
            <w:vAlign w:val="center"/>
          </w:tcPr>
          <w:p w14:paraId="45FDE8D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r>
      <w:tr w14:paraId="2391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1" w:type="dxa"/>
            <w:vMerge w:val="continue"/>
            <w:noWrap w:val="0"/>
            <w:vAlign w:val="top"/>
          </w:tcPr>
          <w:p w14:paraId="609E2F1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c>
          <w:tcPr>
            <w:tcW w:w="2355" w:type="dxa"/>
            <w:noWrap w:val="0"/>
            <w:vAlign w:val="center"/>
          </w:tcPr>
          <w:p w14:paraId="3AC8C4C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本地常驻技术团队总人数</w:t>
            </w:r>
          </w:p>
        </w:tc>
        <w:tc>
          <w:tcPr>
            <w:tcW w:w="5576" w:type="dxa"/>
            <w:gridSpan w:val="3"/>
            <w:noWrap w:val="0"/>
            <w:vAlign w:val="center"/>
          </w:tcPr>
          <w:p w14:paraId="7B751B3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p>
        </w:tc>
      </w:tr>
      <w:tr w14:paraId="2239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5" w:hRule="atLeast"/>
          <w:jc w:val="center"/>
        </w:trPr>
        <w:tc>
          <w:tcPr>
            <w:tcW w:w="951" w:type="dxa"/>
            <w:noWrap w:val="0"/>
            <w:vAlign w:val="center"/>
          </w:tcPr>
          <w:p w14:paraId="3E58E91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企业简介</w:t>
            </w:r>
          </w:p>
        </w:tc>
        <w:tc>
          <w:tcPr>
            <w:tcW w:w="7931" w:type="dxa"/>
            <w:gridSpan w:val="4"/>
            <w:noWrap w:val="0"/>
            <w:vAlign w:val="top"/>
          </w:tcPr>
          <w:p w14:paraId="7447571B">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ascii="仿宋" w:hAnsi="仿宋" w:eastAsia="仿宋" w:cs="Times New Roman"/>
                <w:kern w:val="0"/>
                <w:sz w:val="28"/>
                <w:szCs w:val="21"/>
                <w:highlight w:val="none"/>
                <w:lang w:eastAsia="en-US"/>
              </w:rPr>
            </w:pPr>
          </w:p>
          <w:p w14:paraId="122015CC">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（包括但不限于企业基本情况，企业在Token服务方面的能力，不超过500字）</w:t>
            </w:r>
          </w:p>
        </w:tc>
      </w:tr>
    </w:tbl>
    <w:p w14:paraId="4A682BE3">
      <w:pPr>
        <w:rPr>
          <w:rFonts w:ascii="黑体" w:hAnsi="黑体" w:eastAsia="黑体" w:cs="Times New Roman"/>
          <w:kern w:val="0"/>
          <w:sz w:val="32"/>
          <w:highlight w:val="none"/>
          <w:lang w:eastAsia="en-US"/>
        </w:rPr>
      </w:pPr>
      <w:r>
        <w:rPr>
          <w:rFonts w:ascii="黑体" w:hAnsi="黑体" w:eastAsia="黑体" w:cs="Times New Roman"/>
          <w:kern w:val="0"/>
          <w:sz w:val="32"/>
          <w:highlight w:val="none"/>
          <w:lang w:eastAsia="en-US"/>
        </w:rPr>
        <w:br w:type="page"/>
      </w:r>
    </w:p>
    <w:p w14:paraId="35D419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left"/>
        <w:textAlignment w:val="auto"/>
        <w:rPr>
          <w:rFonts w:ascii="黑体" w:hAnsi="黑体" w:eastAsia="黑体" w:cs="Times New Roman"/>
          <w:kern w:val="0"/>
          <w:sz w:val="32"/>
          <w:highlight w:val="none"/>
          <w:lang w:eastAsia="en-US"/>
        </w:rPr>
      </w:pPr>
      <w:r>
        <w:rPr>
          <w:rFonts w:hint="eastAsia" w:ascii="黑体" w:hAnsi="黑体" w:eastAsia="黑体" w:cs="Times New Roman"/>
          <w:kern w:val="0"/>
          <w:sz w:val="32"/>
          <w:szCs w:val="22"/>
          <w:lang w:val="en-US" w:eastAsia="en-US" w:bidi="ar-SA"/>
        </w:rPr>
        <w:t>二、</w:t>
      </w:r>
      <w:r>
        <w:rPr>
          <w:rFonts w:ascii="黑体" w:hAnsi="黑体" w:eastAsia="黑体" w:cs="Times New Roman"/>
          <w:kern w:val="0"/>
          <w:sz w:val="32"/>
          <w:highlight w:val="none"/>
          <w:lang w:eastAsia="en-US"/>
        </w:rPr>
        <w:t>企业Token服务信息</w:t>
      </w:r>
    </w:p>
    <w:tbl>
      <w:tblPr>
        <w:tblStyle w:val="20"/>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5493"/>
      </w:tblGrid>
      <w:tr w14:paraId="5EE5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3315" w:type="dxa"/>
            <w:noWrap w:val="0"/>
            <w:vAlign w:val="center"/>
          </w:tcPr>
          <w:p w14:paraId="6208982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支持模型类型</w:t>
            </w:r>
          </w:p>
        </w:tc>
        <w:tc>
          <w:tcPr>
            <w:tcW w:w="5493" w:type="dxa"/>
            <w:noWrap w:val="0"/>
            <w:vAlign w:val="center"/>
          </w:tcPr>
          <w:p w14:paraId="03F0E2F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 w:hAnsi="仿宋" w:eastAsia="仿宋" w:cs="Times New Roman"/>
                <w:kern w:val="0"/>
                <w:sz w:val="28"/>
                <w:szCs w:val="21"/>
                <w:highlight w:val="none"/>
                <w:lang w:val="en-US" w:eastAsia="zh-CN"/>
              </w:rPr>
            </w:pPr>
            <w:r>
              <w:rPr>
                <w:rFonts w:ascii="仿宋" w:hAnsi="仿宋" w:eastAsia="仿宋" w:cs="Times New Roman"/>
                <w:kern w:val="0"/>
                <w:sz w:val="28"/>
                <w:szCs w:val="21"/>
                <w:highlight w:val="none"/>
                <w:lang w:eastAsia="en-US"/>
              </w:rPr>
              <w:t>提供具体支持的大模型名称</w:t>
            </w:r>
            <w:r>
              <w:rPr>
                <w:rFonts w:hint="eastAsia" w:ascii="仿宋" w:hAnsi="仿宋" w:eastAsia="仿宋" w:cs="Times New Roman"/>
                <w:kern w:val="0"/>
                <w:sz w:val="28"/>
                <w:szCs w:val="21"/>
                <w:highlight w:val="none"/>
                <w:lang w:val="en-US" w:eastAsia="zh-CN"/>
              </w:rPr>
              <w:t>以及授权情况</w:t>
            </w:r>
          </w:p>
        </w:tc>
      </w:tr>
      <w:tr w14:paraId="08BA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3315" w:type="dxa"/>
            <w:noWrap w:val="0"/>
            <w:vAlign w:val="center"/>
          </w:tcPr>
          <w:p w14:paraId="7C69B79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Times New Roman"/>
                <w:kern w:val="0"/>
                <w:sz w:val="28"/>
                <w:szCs w:val="21"/>
                <w:highlight w:val="none"/>
                <w:lang w:val="en-US" w:eastAsia="zh-CN"/>
              </w:rPr>
            </w:pPr>
            <w:r>
              <w:rPr>
                <w:rFonts w:ascii="仿宋" w:hAnsi="仿宋" w:eastAsia="仿宋" w:cs="Times New Roman"/>
                <w:kern w:val="0"/>
                <w:sz w:val="28"/>
                <w:szCs w:val="21"/>
                <w:highlight w:val="none"/>
                <w:lang w:eastAsia="en-US"/>
              </w:rPr>
              <w:t>Token</w:t>
            </w:r>
            <w:r>
              <w:rPr>
                <w:rFonts w:hint="eastAsia" w:ascii="仿宋" w:hAnsi="仿宋" w:eastAsia="仿宋" w:cs="Times New Roman"/>
                <w:kern w:val="0"/>
                <w:sz w:val="28"/>
                <w:szCs w:val="21"/>
                <w:highlight w:val="none"/>
                <w:lang w:val="en-US" w:eastAsia="zh-CN"/>
              </w:rPr>
              <w:t>价格</w:t>
            </w:r>
          </w:p>
        </w:tc>
        <w:tc>
          <w:tcPr>
            <w:tcW w:w="5493" w:type="dxa"/>
            <w:noWrap w:val="0"/>
            <w:vAlign w:val="center"/>
          </w:tcPr>
          <w:p w14:paraId="09572DF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提供售卖类型，如按量付费、包年包月、定制化服务</w:t>
            </w:r>
            <w:r>
              <w:rPr>
                <w:rFonts w:hint="eastAsia" w:ascii="仿宋" w:hAnsi="仿宋" w:eastAsia="仿宋" w:cs="Times New Roman"/>
                <w:kern w:val="0"/>
                <w:sz w:val="28"/>
                <w:szCs w:val="21"/>
                <w:highlight w:val="none"/>
                <w:lang w:eastAsia="zh-CN"/>
              </w:rPr>
              <w:t>，</w:t>
            </w:r>
            <w:r>
              <w:rPr>
                <w:rFonts w:hint="eastAsia" w:ascii="仿宋" w:hAnsi="仿宋" w:eastAsia="仿宋" w:cs="Times New Roman"/>
                <w:kern w:val="0"/>
                <w:sz w:val="28"/>
                <w:szCs w:val="21"/>
                <w:highlight w:val="none"/>
                <w:lang w:val="en-US" w:eastAsia="zh-CN"/>
              </w:rPr>
              <w:t>以及</w:t>
            </w:r>
            <w:r>
              <w:rPr>
                <w:rFonts w:ascii="仿宋" w:hAnsi="仿宋" w:eastAsia="仿宋" w:cs="Times New Roman"/>
                <w:kern w:val="0"/>
                <w:sz w:val="28"/>
                <w:szCs w:val="21"/>
                <w:highlight w:val="none"/>
                <w:lang w:eastAsia="en-US"/>
              </w:rPr>
              <w:t>具体价格</w:t>
            </w:r>
          </w:p>
        </w:tc>
      </w:tr>
      <w:tr w14:paraId="08C0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3315" w:type="dxa"/>
            <w:noWrap w:val="0"/>
            <w:vAlign w:val="center"/>
          </w:tcPr>
          <w:p w14:paraId="5F957F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API响应时延</w:t>
            </w:r>
          </w:p>
        </w:tc>
        <w:tc>
          <w:tcPr>
            <w:tcW w:w="5493" w:type="dxa"/>
            <w:noWrap w:val="0"/>
            <w:vAlign w:val="center"/>
          </w:tcPr>
          <w:p w14:paraId="7750927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提供平均响应时间（ms）</w:t>
            </w:r>
          </w:p>
        </w:tc>
      </w:tr>
      <w:tr w14:paraId="3B03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315" w:type="dxa"/>
            <w:noWrap w:val="0"/>
            <w:vAlign w:val="center"/>
          </w:tcPr>
          <w:p w14:paraId="1E7EAB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Times New Roman"/>
                <w:kern w:val="0"/>
                <w:sz w:val="28"/>
                <w:szCs w:val="21"/>
                <w:highlight w:val="none"/>
                <w:lang w:val="en-US" w:eastAsia="zh-CN"/>
              </w:rPr>
            </w:pPr>
            <w:r>
              <w:rPr>
                <w:rFonts w:hint="eastAsia" w:ascii="仿宋" w:hAnsi="仿宋" w:eastAsia="仿宋" w:cs="Times New Roman"/>
                <w:kern w:val="0"/>
                <w:sz w:val="28"/>
                <w:szCs w:val="21"/>
                <w:highlight w:val="none"/>
                <w:lang w:val="en-US" w:eastAsia="zh-CN"/>
              </w:rPr>
              <w:t>算力支撑</w:t>
            </w:r>
          </w:p>
        </w:tc>
        <w:tc>
          <w:tcPr>
            <w:tcW w:w="5493" w:type="dxa"/>
            <w:noWrap w:val="0"/>
            <w:vAlign w:val="center"/>
          </w:tcPr>
          <w:p w14:paraId="10D9CC9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 w:hAnsi="仿宋" w:eastAsia="仿宋" w:cs="Times New Roman"/>
                <w:kern w:val="0"/>
                <w:sz w:val="28"/>
                <w:szCs w:val="21"/>
                <w:highlight w:val="none"/>
                <w:lang w:val="en-US" w:eastAsia="zh-CN"/>
              </w:rPr>
            </w:pPr>
            <w:r>
              <w:rPr>
                <w:rFonts w:hint="eastAsia" w:ascii="仿宋" w:hAnsi="仿宋" w:eastAsia="仿宋" w:cs="Times New Roman"/>
                <w:kern w:val="0"/>
                <w:sz w:val="28"/>
                <w:szCs w:val="21"/>
                <w:highlight w:val="none"/>
                <w:lang w:val="en-US" w:eastAsia="zh-CN"/>
              </w:rPr>
              <w:t>提供具体使用算力情况</w:t>
            </w:r>
          </w:p>
        </w:tc>
      </w:tr>
      <w:tr w14:paraId="3CEF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315" w:type="dxa"/>
            <w:noWrap w:val="0"/>
            <w:vAlign w:val="center"/>
          </w:tcPr>
          <w:p w14:paraId="55A033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Times New Roman"/>
                <w:kern w:val="0"/>
                <w:sz w:val="28"/>
                <w:szCs w:val="21"/>
                <w:highlight w:val="none"/>
                <w:lang w:val="en-US" w:eastAsia="zh-CN"/>
              </w:rPr>
            </w:pPr>
            <w:r>
              <w:rPr>
                <w:rFonts w:hint="eastAsia" w:ascii="仿宋" w:hAnsi="仿宋" w:eastAsia="仿宋" w:cs="Times New Roman"/>
                <w:kern w:val="0"/>
                <w:sz w:val="28"/>
                <w:szCs w:val="21"/>
                <w:highlight w:val="none"/>
                <w:lang w:val="en-US" w:eastAsia="zh-CN"/>
              </w:rPr>
              <w:t>日均处理能力</w:t>
            </w:r>
          </w:p>
        </w:tc>
        <w:tc>
          <w:tcPr>
            <w:tcW w:w="5493" w:type="dxa"/>
            <w:noWrap w:val="0"/>
            <w:vAlign w:val="center"/>
          </w:tcPr>
          <w:p w14:paraId="550CAEFE">
            <w:pPr>
              <w:keepNext w:val="0"/>
              <w:keepLines w:val="0"/>
              <w:pageBreakBefore w:val="0"/>
              <w:widowControl w:val="0"/>
              <w:kinsoku/>
              <w:wordWrap w:val="0"/>
              <w:overflowPunct/>
              <w:topLinePunct/>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hint="eastAsia" w:ascii="仿宋" w:hAnsi="仿宋" w:eastAsia="仿宋" w:cs="Times New Roman"/>
                <w:kern w:val="0"/>
                <w:sz w:val="28"/>
                <w:szCs w:val="21"/>
                <w:highlight w:val="none"/>
                <w:lang w:val="en-US" w:eastAsia="zh-CN"/>
              </w:rPr>
              <w:t>提供日均 Token 处理能力</w:t>
            </w:r>
            <w:r>
              <w:rPr>
                <w:rFonts w:hint="eastAsia" w:ascii="仿宋_GB2312" w:hAnsi="仿宋_GB2312" w:eastAsia="仿宋_GB2312" w:cs="仿宋_GB2312"/>
                <w:kern w:val="0"/>
                <w:sz w:val="28"/>
                <w:szCs w:val="28"/>
                <w:highlight w:val="none"/>
                <w:lang w:val="en-US" w:eastAsia="zh-CN"/>
              </w:rPr>
              <w:t>。</w:t>
            </w:r>
          </w:p>
        </w:tc>
      </w:tr>
      <w:tr w14:paraId="3882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315" w:type="dxa"/>
            <w:noWrap w:val="0"/>
            <w:vAlign w:val="center"/>
          </w:tcPr>
          <w:p w14:paraId="7DCB6C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并发支持能力</w:t>
            </w:r>
          </w:p>
        </w:tc>
        <w:tc>
          <w:tcPr>
            <w:tcW w:w="5493" w:type="dxa"/>
            <w:noWrap w:val="0"/>
            <w:vAlign w:val="center"/>
          </w:tcPr>
          <w:p w14:paraId="2A1D3E1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提供最大并发请求数</w:t>
            </w:r>
          </w:p>
        </w:tc>
      </w:tr>
      <w:tr w14:paraId="2119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315" w:type="dxa"/>
            <w:noWrap w:val="0"/>
            <w:vAlign w:val="center"/>
          </w:tcPr>
          <w:p w14:paraId="420B15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SLA承诺</w:t>
            </w:r>
          </w:p>
        </w:tc>
        <w:tc>
          <w:tcPr>
            <w:tcW w:w="5493" w:type="dxa"/>
            <w:noWrap w:val="0"/>
            <w:vAlign w:val="center"/>
          </w:tcPr>
          <w:p w14:paraId="76EB142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提供服务可用性、故障响应时间等SLA承诺</w:t>
            </w:r>
          </w:p>
        </w:tc>
      </w:tr>
      <w:tr w14:paraId="3CC8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315" w:type="dxa"/>
            <w:noWrap w:val="0"/>
            <w:vAlign w:val="center"/>
          </w:tcPr>
          <w:p w14:paraId="36C421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数据安全方案</w:t>
            </w:r>
          </w:p>
        </w:tc>
        <w:tc>
          <w:tcPr>
            <w:tcW w:w="5493" w:type="dxa"/>
            <w:noWrap w:val="0"/>
            <w:vAlign w:val="center"/>
          </w:tcPr>
          <w:p w14:paraId="0DFCFFB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提供数据加密、隐私保护方案说明</w:t>
            </w:r>
          </w:p>
        </w:tc>
      </w:tr>
      <w:tr w14:paraId="527E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315" w:type="dxa"/>
            <w:noWrap w:val="0"/>
            <w:vAlign w:val="center"/>
          </w:tcPr>
          <w:p w14:paraId="53412E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服务介绍</w:t>
            </w:r>
          </w:p>
        </w:tc>
        <w:tc>
          <w:tcPr>
            <w:tcW w:w="5493" w:type="dxa"/>
            <w:noWrap w:val="0"/>
            <w:vAlign w:val="center"/>
          </w:tcPr>
          <w:p w14:paraId="5FAE445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仿宋" w:hAnsi="仿宋" w:eastAsia="仿宋" w:cs="Times New Roman"/>
                <w:kern w:val="0"/>
                <w:sz w:val="28"/>
                <w:szCs w:val="21"/>
                <w:highlight w:val="none"/>
                <w:lang w:eastAsia="en-US"/>
              </w:rPr>
            </w:pPr>
            <w:r>
              <w:rPr>
                <w:rFonts w:ascii="仿宋" w:hAnsi="仿宋" w:eastAsia="仿宋" w:cs="Times New Roman"/>
                <w:kern w:val="0"/>
                <w:sz w:val="28"/>
                <w:szCs w:val="21"/>
                <w:highlight w:val="none"/>
                <w:lang w:eastAsia="en-US"/>
              </w:rPr>
              <w:t>提供Token服务的详细介绍，不超过</w:t>
            </w:r>
            <w:r>
              <w:rPr>
                <w:rFonts w:hint="eastAsia" w:ascii="仿宋" w:hAnsi="仿宋" w:eastAsia="仿宋" w:cs="Times New Roman"/>
                <w:kern w:val="0"/>
                <w:sz w:val="28"/>
                <w:szCs w:val="21"/>
                <w:highlight w:val="none"/>
                <w:lang w:val="en-US" w:eastAsia="zh-CN"/>
              </w:rPr>
              <w:t>500</w:t>
            </w:r>
            <w:r>
              <w:rPr>
                <w:rFonts w:ascii="仿宋" w:hAnsi="仿宋" w:eastAsia="仿宋" w:cs="Times New Roman"/>
                <w:kern w:val="0"/>
                <w:sz w:val="28"/>
                <w:szCs w:val="21"/>
                <w:highlight w:val="none"/>
                <w:lang w:eastAsia="en-US"/>
              </w:rPr>
              <w:t>字</w:t>
            </w:r>
          </w:p>
        </w:tc>
      </w:tr>
    </w:tbl>
    <w:p w14:paraId="3F417E63">
      <w:pPr>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br w:type="page"/>
      </w:r>
    </w:p>
    <w:p w14:paraId="1221DC46">
      <w:pPr>
        <w:widowControl/>
        <w:spacing w:line="560" w:lineRule="exact"/>
        <w:ind w:firstLine="640" w:firstLineChars="200"/>
        <w:rPr>
          <w:rFonts w:ascii="Times New Roman" w:hAnsi="Times New Roman" w:eastAsia="黑体" w:cs="Times New Roman"/>
          <w:sz w:val="32"/>
          <w:szCs w:val="24"/>
        </w:rPr>
      </w:pPr>
      <w:r>
        <w:rPr>
          <w:rFonts w:hint="eastAsia" w:ascii="Times New Roman" w:hAnsi="Times New Roman" w:eastAsia="黑体" w:cs="Times New Roman"/>
          <w:sz w:val="32"/>
          <w:szCs w:val="24"/>
        </w:rPr>
        <w:t>三</w:t>
      </w:r>
      <w:r>
        <w:rPr>
          <w:rFonts w:ascii="Times New Roman" w:hAnsi="Times New Roman" w:eastAsia="黑体" w:cs="Times New Roman"/>
          <w:sz w:val="32"/>
          <w:szCs w:val="24"/>
        </w:rPr>
        <w:t>、相关附件</w:t>
      </w:r>
    </w:p>
    <w:p w14:paraId="328B8BFA">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1.企业营业执照副本复印件</w:t>
      </w:r>
    </w:p>
    <w:p w14:paraId="667BC18D">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2.合规资质证明（大模型服务商提供国家网信办生成式人工智能服务备案完整证明；授权分销商提供上游自营大模型服务商的国家网信办备案证明）</w:t>
      </w:r>
    </w:p>
    <w:p w14:paraId="297CE509">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3.近一年任意3家合作企业的Token调用明细账单（需包含企业名称、调用时段、模型名称、调用量、单价、总金额）</w:t>
      </w:r>
    </w:p>
    <w:p w14:paraId="02969E8D">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4.Token服务产品说明、官方服务报价单、标准服务合同模板</w:t>
      </w:r>
    </w:p>
    <w:p w14:paraId="7A1CC60E">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5.技术能力证明材料（软著、专利、技术团队资质证书等）</w:t>
      </w:r>
    </w:p>
    <w:p w14:paraId="4170EA52">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6.2024、2025年度财务数据佐证材料</w:t>
      </w:r>
    </w:p>
    <w:p w14:paraId="4AC42B13">
      <w:pPr>
        <w:spacing w:line="550" w:lineRule="exact"/>
        <w:ind w:firstLine="640" w:firstLineChars="200"/>
        <w:rPr>
          <w:rFonts w:ascii="仿宋_GB2312" w:eastAsia="仿宋_GB2312"/>
          <w:sz w:val="32"/>
          <w:szCs w:val="32"/>
        </w:rPr>
      </w:pPr>
      <w:r>
        <w:rPr>
          <w:rFonts w:hint="eastAsia" w:ascii="仿宋_GB2312" w:eastAsia="仿宋_GB2312"/>
          <w:sz w:val="32"/>
          <w:szCs w:val="32"/>
          <w:lang w:val="en-US" w:eastAsia="zh-CN"/>
        </w:rPr>
        <w:t>7.2024年以来未发生重大安全、质量、环境污染等事故以及偷漏税等违法违规行为证明材料</w:t>
      </w:r>
    </w:p>
    <w:p w14:paraId="2746CB2E">
      <w:pPr>
        <w:spacing w:line="550" w:lineRule="exact"/>
        <w:ind w:firstLine="640" w:firstLineChars="200"/>
        <w:rPr>
          <w:rFonts w:ascii="仿宋_GB2312" w:eastAsia="仿宋_GB2312"/>
          <w:sz w:val="32"/>
          <w:szCs w:val="32"/>
        </w:rPr>
      </w:pPr>
    </w:p>
    <w:p w14:paraId="2515B70D">
      <w:pPr>
        <w:spacing w:line="550" w:lineRule="exact"/>
        <w:ind w:firstLine="640" w:firstLineChars="200"/>
        <w:rPr>
          <w:rFonts w:ascii="仿宋_GB2312" w:eastAsia="仿宋_GB2312"/>
          <w:sz w:val="32"/>
          <w:szCs w:val="32"/>
        </w:rPr>
      </w:pPr>
    </w:p>
    <w:p w14:paraId="34D965BF">
      <w:pPr>
        <w:spacing w:line="550" w:lineRule="exact"/>
        <w:ind w:firstLine="640" w:firstLineChars="200"/>
        <w:rPr>
          <w:rFonts w:ascii="仿宋_GB2312" w:eastAsia="仿宋_GB2312"/>
          <w:sz w:val="32"/>
          <w:szCs w:val="32"/>
        </w:rPr>
      </w:pPr>
    </w:p>
    <w:p w14:paraId="7D18E31F">
      <w:pPr>
        <w:spacing w:line="550" w:lineRule="exact"/>
        <w:ind w:firstLine="640" w:firstLineChars="200"/>
        <w:rPr>
          <w:rFonts w:ascii="仿宋_GB2312" w:eastAsia="仿宋_GB2312"/>
          <w:sz w:val="32"/>
          <w:szCs w:val="32"/>
        </w:rPr>
      </w:pPr>
    </w:p>
    <w:p w14:paraId="12DA49A5">
      <w:pPr>
        <w:spacing w:line="550" w:lineRule="exact"/>
        <w:ind w:firstLine="640" w:firstLineChars="200"/>
        <w:rPr>
          <w:rFonts w:ascii="仿宋_GB2312" w:eastAsia="仿宋_GB2312"/>
          <w:sz w:val="32"/>
          <w:szCs w:val="32"/>
        </w:rPr>
      </w:pPr>
    </w:p>
    <w:p w14:paraId="184F9448">
      <w:pPr>
        <w:spacing w:line="550" w:lineRule="exact"/>
        <w:jc w:val="both"/>
        <w:rPr>
          <w:rFonts w:hint="eastAsia" w:ascii="黑体" w:hAnsi="黑体" w:eastAsia="黑体"/>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D8"/>
    <w:rsid w:val="000125FA"/>
    <w:rsid w:val="00031D35"/>
    <w:rsid w:val="000B014E"/>
    <w:rsid w:val="00123FFF"/>
    <w:rsid w:val="00204471"/>
    <w:rsid w:val="00261DD8"/>
    <w:rsid w:val="0030352E"/>
    <w:rsid w:val="003F7601"/>
    <w:rsid w:val="0047187B"/>
    <w:rsid w:val="005374DB"/>
    <w:rsid w:val="005A6319"/>
    <w:rsid w:val="005E55D7"/>
    <w:rsid w:val="00626122"/>
    <w:rsid w:val="006426DA"/>
    <w:rsid w:val="006B3F0C"/>
    <w:rsid w:val="006D32F7"/>
    <w:rsid w:val="008C45EC"/>
    <w:rsid w:val="00970455"/>
    <w:rsid w:val="00A72718"/>
    <w:rsid w:val="00B67EF9"/>
    <w:rsid w:val="00BC0A8A"/>
    <w:rsid w:val="00D31CCB"/>
    <w:rsid w:val="00D6557D"/>
    <w:rsid w:val="00DE5CF5"/>
    <w:rsid w:val="00ED28D9"/>
    <w:rsid w:val="03FDECF2"/>
    <w:rsid w:val="16247CCB"/>
    <w:rsid w:val="25EA928E"/>
    <w:rsid w:val="26BD062F"/>
    <w:rsid w:val="26FBA7BB"/>
    <w:rsid w:val="2AF7739A"/>
    <w:rsid w:val="2FFF52A2"/>
    <w:rsid w:val="37FB2C44"/>
    <w:rsid w:val="38FF8D1F"/>
    <w:rsid w:val="39E56C02"/>
    <w:rsid w:val="3B7CDBA0"/>
    <w:rsid w:val="3BFB0529"/>
    <w:rsid w:val="3DDED5DE"/>
    <w:rsid w:val="3F5D8E96"/>
    <w:rsid w:val="3F7BA244"/>
    <w:rsid w:val="3FB9FB71"/>
    <w:rsid w:val="3FF747F0"/>
    <w:rsid w:val="4DFF3CD2"/>
    <w:rsid w:val="53DDA7A2"/>
    <w:rsid w:val="57DF5F4A"/>
    <w:rsid w:val="57FFEA1E"/>
    <w:rsid w:val="5BBD62EF"/>
    <w:rsid w:val="5BBF9FAC"/>
    <w:rsid w:val="5BFF2BE8"/>
    <w:rsid w:val="5EDF8BEA"/>
    <w:rsid w:val="657F8E0D"/>
    <w:rsid w:val="67FBD7E0"/>
    <w:rsid w:val="6BFABD53"/>
    <w:rsid w:val="6CFFB7C2"/>
    <w:rsid w:val="6FCD767B"/>
    <w:rsid w:val="71EF3237"/>
    <w:rsid w:val="73FFC12B"/>
    <w:rsid w:val="76B80955"/>
    <w:rsid w:val="77B746F7"/>
    <w:rsid w:val="77DEF041"/>
    <w:rsid w:val="78760B3A"/>
    <w:rsid w:val="79AB6F92"/>
    <w:rsid w:val="79F7AC2D"/>
    <w:rsid w:val="7CBCE096"/>
    <w:rsid w:val="7DF757DD"/>
    <w:rsid w:val="7EEF0E89"/>
    <w:rsid w:val="7FBD60B0"/>
    <w:rsid w:val="7FDFB068"/>
    <w:rsid w:val="7FEF65EF"/>
    <w:rsid w:val="7FEFD1F9"/>
    <w:rsid w:val="7FFFC9E1"/>
    <w:rsid w:val="96DDFA68"/>
    <w:rsid w:val="9FD3E782"/>
    <w:rsid w:val="ADAF51BD"/>
    <w:rsid w:val="AFD6A581"/>
    <w:rsid w:val="AFD6D534"/>
    <w:rsid w:val="BD774799"/>
    <w:rsid w:val="BF6D7E58"/>
    <w:rsid w:val="BF77877C"/>
    <w:rsid w:val="BF7D6906"/>
    <w:rsid w:val="BFCEEA61"/>
    <w:rsid w:val="BFDE5B65"/>
    <w:rsid w:val="CEED732B"/>
    <w:rsid w:val="D7CA5329"/>
    <w:rsid w:val="DEDECABD"/>
    <w:rsid w:val="DF9FAC24"/>
    <w:rsid w:val="DFD618B4"/>
    <w:rsid w:val="DFDB28F8"/>
    <w:rsid w:val="E7FF5B77"/>
    <w:rsid w:val="EB7F5E20"/>
    <w:rsid w:val="EBC63F4C"/>
    <w:rsid w:val="ECF128AA"/>
    <w:rsid w:val="EDB5B707"/>
    <w:rsid w:val="EF7FF240"/>
    <w:rsid w:val="EFDF7209"/>
    <w:rsid w:val="EFFE97D8"/>
    <w:rsid w:val="F6BE7FF3"/>
    <w:rsid w:val="F7BEB597"/>
    <w:rsid w:val="F7E3F748"/>
    <w:rsid w:val="F7F8AC45"/>
    <w:rsid w:val="F9AAA6AF"/>
    <w:rsid w:val="F9BD31CA"/>
    <w:rsid w:val="FA6D2B3B"/>
    <w:rsid w:val="FBE77AA1"/>
    <w:rsid w:val="FCEFA84D"/>
    <w:rsid w:val="FD4F4B08"/>
    <w:rsid w:val="FF5320CF"/>
    <w:rsid w:val="FFBABA8D"/>
    <w:rsid w:val="FFEF44EA"/>
    <w:rsid w:val="FFF93044"/>
    <w:rsid w:val="FFF98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3"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rPr>
      <w:rFonts w:ascii="Calibri" w:hAnsi="Calibri" w:eastAsia="CESI仿宋-GB2312" w:cs="Times New Roman"/>
      <w:sz w:val="32"/>
      <w:szCs w:val="24"/>
    </w:rPr>
  </w:style>
  <w:style w:type="paragraph" w:styleId="12">
    <w:name w:val="annotation text"/>
    <w:basedOn w:val="1"/>
    <w:semiHidden/>
    <w:unhideWhenUsed/>
    <w:qFormat/>
    <w:uiPriority w:val="99"/>
    <w:pPr>
      <w:jc w:val="left"/>
    </w:pPr>
  </w:style>
  <w:style w:type="paragraph" w:styleId="13">
    <w:name w:val="Body Text"/>
    <w:basedOn w:val="1"/>
    <w:next w:val="1"/>
    <w:link w:val="43"/>
    <w:qFormat/>
    <w:uiPriority w:val="3"/>
    <w:pPr>
      <w:spacing w:line="540" w:lineRule="exact"/>
      <w:jc w:val="left"/>
    </w:pPr>
    <w:rPr>
      <w:rFonts w:ascii="楷体_GB2312" w:hAnsi="Calibri" w:eastAsia="楷体_GB2312" w:cs="Times New Roman"/>
      <w:sz w:val="32"/>
      <w:szCs w:val="20"/>
    </w:rPr>
  </w:style>
  <w:style w:type="paragraph" w:styleId="14">
    <w:name w:val="footer"/>
    <w:basedOn w:val="1"/>
    <w:link w:val="42"/>
    <w:unhideWhenUsed/>
    <w:qFormat/>
    <w:uiPriority w:val="99"/>
    <w:pPr>
      <w:tabs>
        <w:tab w:val="center" w:pos="4153"/>
        <w:tab w:val="right" w:pos="8306"/>
      </w:tabs>
      <w:snapToGrid w:val="0"/>
      <w:jc w:val="left"/>
    </w:pPr>
    <w:rPr>
      <w:sz w:val="18"/>
      <w:szCs w:val="18"/>
    </w:rPr>
  </w:style>
  <w:style w:type="paragraph" w:styleId="15">
    <w:name w:val="header"/>
    <w:basedOn w:val="1"/>
    <w:link w:val="41"/>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customStyle="1" w:styleId="23">
    <w:name w:val="标题 1 字符"/>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5"/>
    <w:semiHidden/>
    <w:qFormat/>
    <w:uiPriority w:val="9"/>
    <w:rPr>
      <w:rFonts w:cstheme="majorBidi"/>
      <w:color w:val="2F5597" w:themeColor="accent1" w:themeShade="BF"/>
      <w:sz w:val="28"/>
      <w:szCs w:val="28"/>
    </w:rPr>
  </w:style>
  <w:style w:type="character" w:customStyle="1" w:styleId="27">
    <w:name w:val="标题 5 字符"/>
    <w:basedOn w:val="21"/>
    <w:link w:val="6"/>
    <w:semiHidden/>
    <w:qFormat/>
    <w:uiPriority w:val="9"/>
    <w:rPr>
      <w:rFonts w:cstheme="majorBidi"/>
      <w:color w:val="2F5597" w:themeColor="accent1" w:themeShade="BF"/>
      <w:sz w:val="24"/>
      <w:szCs w:val="24"/>
    </w:rPr>
  </w:style>
  <w:style w:type="character" w:customStyle="1" w:styleId="28">
    <w:name w:val="标题 6 字符"/>
    <w:basedOn w:val="21"/>
    <w:link w:val="7"/>
    <w:semiHidden/>
    <w:qFormat/>
    <w:uiPriority w:val="9"/>
    <w:rPr>
      <w:rFonts w:cstheme="majorBidi"/>
      <w:b/>
      <w:bCs/>
      <w:color w:val="2F5597" w:themeColor="accent1" w:themeShade="BF"/>
    </w:rPr>
  </w:style>
  <w:style w:type="character" w:customStyle="1" w:styleId="29">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i/>
      <w:iCs/>
      <w:color w:val="2F5597" w:themeColor="accent1" w:themeShade="BF"/>
    </w:rPr>
  </w:style>
  <w:style w:type="character" w:customStyle="1" w:styleId="40">
    <w:name w:val="Intense Reference"/>
    <w:basedOn w:val="21"/>
    <w:qFormat/>
    <w:uiPriority w:val="32"/>
    <w:rPr>
      <w:b/>
      <w:bCs/>
      <w:smallCaps/>
      <w:color w:val="2F5597" w:themeColor="accent1" w:themeShade="BF"/>
      <w:spacing w:val="5"/>
    </w:rPr>
  </w:style>
  <w:style w:type="character" w:customStyle="1" w:styleId="41">
    <w:name w:val="页眉 字符"/>
    <w:basedOn w:val="21"/>
    <w:link w:val="15"/>
    <w:qFormat/>
    <w:uiPriority w:val="99"/>
    <w:rPr>
      <w:sz w:val="18"/>
      <w:szCs w:val="18"/>
    </w:rPr>
  </w:style>
  <w:style w:type="character" w:customStyle="1" w:styleId="42">
    <w:name w:val="页脚 字符"/>
    <w:basedOn w:val="21"/>
    <w:link w:val="14"/>
    <w:qFormat/>
    <w:uiPriority w:val="99"/>
    <w:rPr>
      <w:sz w:val="18"/>
      <w:szCs w:val="18"/>
    </w:rPr>
  </w:style>
  <w:style w:type="character" w:customStyle="1" w:styleId="43">
    <w:name w:val="正文文本 字符"/>
    <w:basedOn w:val="21"/>
    <w:link w:val="13"/>
    <w:qFormat/>
    <w:uiPriority w:val="3"/>
    <w:rPr>
      <w:rFonts w:ascii="楷体_GB2312" w:hAnsi="Calibri" w:eastAsia="楷体_GB2312"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1349</Words>
  <Characters>1532</Characters>
  <Lines>74</Lines>
  <Paragraphs>56</Paragraphs>
  <TotalTime>1</TotalTime>
  <ScaleCrop>false</ScaleCrop>
  <LinksUpToDate>false</LinksUpToDate>
  <CharactersWithSpaces>1569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2026-05-30T21:37:00Z</dcterms:created>
  <dc:creator>然 杨</dc:creator>
  <cp:lastModifiedBy>周紫荆</cp:lastModifiedBy>
  <cp:lastPrinted>2026-06-19T11:35:00Z</cp:lastPrinted>
  <dcterms:modified xsi:type="dcterms:W3CDTF">2026-07-03T01:44:33Z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EA46B65A926D4EBAACC54B910262C3D0_13</vt:lpwstr>
  </property>
  <property fmtid="{D5CDD505-2E9C-101B-9397-08002B2CF9AE}" pid="4" name="KSOTemplateDocerSaveRecord">
    <vt:lpwstr>eyJoZGlkIjoiZmQ0NTA5MWFlYmM2NWQyOTJkODExOGRiYWUxNTRmYjUiLCJ1c2VySWQiOiI5NTM3MzMxODYifQ==</vt:lpwstr>
  </property>
</Properties>
</file>