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关于《江岸区经信和科创局关于“Token券”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的实施方案（征求意见稿）》公开征求意见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为贯彻落实《国务院关于深入实施“人工智能+”行动的意见》《武汉市推动“人工智能+”行动方案》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江岸区发展Token经济行动方案（2026—2028年）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，抢抓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人工智能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发展机遇，加快培育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Token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经济新形态，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根据《江岸区大力支持Token经济发展的若干措施》，</w:t>
      </w:r>
      <w:r>
        <w:rPr>
          <w:rFonts w:hint="eastAsia" w:ascii="仿宋_GB2312" w:hAnsi="仿宋_GB2312" w:eastAsia="仿宋_GB2312" w:cs="仿宋_GB2312"/>
          <w:sz w:val="32"/>
          <w:szCs w:val="32"/>
        </w:rPr>
        <w:t>我局调研起草了《江岸区经信和科创局关于“Token券”的实施方案（征求意见稿）》，现向社会公开征求意见。有意见者请于2026年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以书面形式（团体或企事业单位盖公章）反馈至邮箱：jaqkjjjjyxk@163.com，逾期不予受理。意见材料应当说明意见事项、理由并提供相应证明，同时注明联系人及联系方式。单位提出意见的，应由其法定代表人签字确认并加盖公章，同时附上单位统一社会信用代码证书复印件；个人提出意见的，应署实名并附上身份证件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1598" w:leftChars="304" w:hanging="960" w:hanging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附件：江岸区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经信和科创</w:t>
      </w:r>
      <w:r>
        <w:rPr>
          <w:rFonts w:hint="eastAsia" w:ascii="仿宋_GB2312" w:hAnsi="仿宋_GB2312" w:eastAsia="仿宋_GB2312" w:cs="仿宋_GB2312"/>
          <w:sz w:val="32"/>
          <w:szCs w:val="32"/>
        </w:rPr>
        <w:t>局关于“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Token券</w:t>
      </w:r>
      <w:r>
        <w:rPr>
          <w:rFonts w:hint="eastAsia" w:ascii="仿宋_GB2312" w:hAnsi="仿宋_GB2312" w:eastAsia="仿宋_GB2312" w:cs="仿宋_GB2312"/>
          <w:sz w:val="32"/>
          <w:szCs w:val="32"/>
        </w:rPr>
        <w:t>”的实施方案（征求意见稿）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                        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江岸区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经济信息化和科技创新局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                                  202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日 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wordWrap w:val="0"/>
        <w:topLinePunct/>
        <w:spacing w:beforeLines="0" w:afterLines="0" w:line="560" w:lineRule="exact"/>
        <w:jc w:val="center"/>
        <w:rPr>
          <w:rFonts w:hint="default" w:ascii="Times New Roman Regular" w:hAnsi="Times New Roman Regular" w:eastAsia="方正小标宋_GBK" w:cs="Times New Roman Regular"/>
          <w:snapToGrid w:val="0"/>
          <w:color w:val="000000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wordWrap w:val="0"/>
        <w:topLinePunct/>
        <w:spacing w:beforeLines="0" w:afterLines="0" w:line="560" w:lineRule="exact"/>
        <w:jc w:val="both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  <w:t>附件</w:t>
      </w:r>
    </w:p>
    <w:p>
      <w:pPr>
        <w:wordWrap w:val="0"/>
        <w:topLinePunct/>
        <w:spacing w:beforeLines="0" w:afterLines="0" w:line="560" w:lineRule="exact"/>
        <w:jc w:val="center"/>
        <w:rPr>
          <w:rFonts w:hint="eastAsia" w:ascii="Times New Roman Regular" w:hAnsi="Times New Roman Regular" w:eastAsia="方正小标宋_GBK" w:cs="Times New Roman Regular"/>
          <w:snapToGrid w:val="0"/>
          <w:color w:val="000000"/>
          <w:kern w:val="0"/>
          <w:sz w:val="44"/>
          <w:szCs w:val="44"/>
        </w:rPr>
      </w:pPr>
    </w:p>
    <w:p>
      <w:pPr>
        <w:wordWrap w:val="0"/>
        <w:topLinePunct/>
        <w:spacing w:beforeLines="0" w:afterLines="0" w:line="560" w:lineRule="exact"/>
        <w:jc w:val="center"/>
        <w:rPr>
          <w:rFonts w:hint="default" w:ascii="Times New Roman Regular" w:hAnsi="Times New Roman Regular" w:eastAsia="方正小标宋_GBK" w:cs="Times New Roman Regular"/>
          <w:snapToGrid w:val="0"/>
          <w:color w:val="000000"/>
          <w:kern w:val="0"/>
          <w:sz w:val="44"/>
          <w:szCs w:val="44"/>
          <w:lang w:val="zh-CN"/>
        </w:rPr>
      </w:pPr>
      <w:r>
        <w:rPr>
          <w:rFonts w:hint="eastAsia" w:ascii="Times New Roman Regular" w:hAnsi="Times New Roman Regular" w:eastAsia="方正小标宋_GBK" w:cs="Times New Roman Regular"/>
          <w:snapToGrid w:val="0"/>
          <w:color w:val="000000"/>
          <w:kern w:val="0"/>
          <w:sz w:val="44"/>
          <w:szCs w:val="44"/>
        </w:rPr>
        <w:t>江岸区经信和科创局关于“</w:t>
      </w: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</w:rPr>
        <w:t>Token</w:t>
      </w:r>
      <w:r>
        <w:rPr>
          <w:rFonts w:hint="eastAsia" w:ascii="Times New Roman Regular" w:hAnsi="Times New Roman Regular" w:eastAsia="方正小标宋_GBK" w:cs="Times New Roman Regular"/>
          <w:snapToGrid w:val="0"/>
          <w:color w:val="000000"/>
          <w:kern w:val="0"/>
          <w:sz w:val="44"/>
          <w:szCs w:val="44"/>
        </w:rPr>
        <w:t>券</w:t>
      </w:r>
      <w:r>
        <w:rPr>
          <w:rFonts w:hint="eastAsia" w:ascii="Times New Roman Regular" w:hAnsi="Times New Roman Regular" w:eastAsia="方正小标宋_GBK" w:cs="Times New Roman Regular"/>
          <w:snapToGrid w:val="0"/>
          <w:color w:val="000000"/>
          <w:kern w:val="0"/>
          <w:sz w:val="44"/>
          <w:szCs w:val="44"/>
          <w:lang w:val="zh-CN"/>
        </w:rPr>
        <w:t>”</w:t>
      </w:r>
    </w:p>
    <w:p>
      <w:pPr>
        <w:wordWrap w:val="0"/>
        <w:topLinePunct/>
        <w:spacing w:beforeLines="0" w:afterLines="0" w:line="560" w:lineRule="exact"/>
        <w:jc w:val="center"/>
        <w:rPr>
          <w:rFonts w:hint="default" w:ascii="Times New Roman Regular" w:hAnsi="Times New Roman Regular" w:eastAsia="方正小标宋_GBK" w:cs="Times New Roman Regular"/>
          <w:snapToGrid w:val="0"/>
          <w:color w:val="000000"/>
          <w:kern w:val="0"/>
          <w:sz w:val="44"/>
          <w:szCs w:val="44"/>
        </w:rPr>
      </w:pPr>
      <w:r>
        <w:rPr>
          <w:rFonts w:hint="eastAsia" w:ascii="Times New Roman Regular" w:hAnsi="Times New Roman Regular" w:eastAsia="方正小标宋_GBK" w:cs="Times New Roman Regular"/>
          <w:snapToGrid w:val="0"/>
          <w:color w:val="000000"/>
          <w:kern w:val="0"/>
          <w:sz w:val="44"/>
          <w:szCs w:val="44"/>
          <w:lang w:val="zh-CN"/>
        </w:rPr>
        <w:t>的</w:t>
      </w:r>
      <w:r>
        <w:rPr>
          <w:rFonts w:hint="eastAsia" w:ascii="Times New Roman Regular" w:hAnsi="Times New Roman Regular" w:eastAsia="方正小标宋_GBK" w:cs="Times New Roman Regular"/>
          <w:snapToGrid w:val="0"/>
          <w:color w:val="000000"/>
          <w:kern w:val="0"/>
          <w:sz w:val="44"/>
          <w:szCs w:val="44"/>
        </w:rPr>
        <w:t>实施方案</w:t>
      </w:r>
    </w:p>
    <w:p>
      <w:pPr>
        <w:wordWrap w:val="0"/>
        <w:topLinePunct/>
        <w:spacing w:beforeLines="0" w:afterLines="0" w:line="560" w:lineRule="exact"/>
        <w:jc w:val="center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</w:rPr>
        <w:t>（征求意见稿）</w:t>
      </w:r>
    </w:p>
    <w:p>
      <w:pPr>
        <w:wordWrap w:val="0"/>
        <w:topLinePunct/>
        <w:spacing w:beforeLines="0" w:afterLines="0" w:line="560" w:lineRule="exact"/>
        <w:ind w:firstLine="640" w:firstLineChars="200"/>
        <w:jc w:val="left"/>
        <w:rPr>
          <w:rFonts w:hint="default" w:ascii="Times New Roman Regular" w:hAnsi="Times New Roman Regular" w:cs="Times New Roman Regular"/>
          <w:color w:val="auto"/>
          <w:sz w:val="32"/>
          <w:szCs w:val="32"/>
        </w:rPr>
      </w:pPr>
    </w:p>
    <w:p>
      <w:pPr>
        <w:wordWrap w:val="0"/>
        <w:topLinePunct/>
        <w:spacing w:beforeLines="0" w:afterLines="0" w:line="554" w:lineRule="exact"/>
        <w:ind w:firstLine="640" w:firstLineChars="200"/>
        <w:jc w:val="left"/>
        <w:rPr>
          <w:rFonts w:hint="default" w:ascii="Times New Roman Regular" w:hAnsi="Times New Roman Regular" w:eastAsia="CESI黑体-GB2312" w:cs="Times New Roman Regular"/>
          <w:color w:val="auto"/>
          <w:sz w:val="32"/>
          <w:szCs w:val="32"/>
        </w:rPr>
      </w:pPr>
      <w:r>
        <w:rPr>
          <w:rFonts w:hint="eastAsia" w:ascii="Times New Roman Regular" w:hAnsi="Times New Roman Regular" w:eastAsia="CESI黑体-GB2312" w:cs="Times New Roman Regular"/>
          <w:color w:val="auto"/>
          <w:sz w:val="32"/>
          <w:szCs w:val="32"/>
        </w:rPr>
        <w:t>一、实施依据</w:t>
      </w:r>
    </w:p>
    <w:p>
      <w:pPr>
        <w:spacing w:beforeLines="0" w:afterLines="0" w:line="554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根据《江岸区大力支持Token经济发展的若干措施》第1条“每年设置1000万元Token券，对符合条件的数智经济企业，使用国内头部大模型进行创作生产的，按实际支付的模型调用费用，给予最高30万元补贴”。</w:t>
      </w:r>
    </w:p>
    <w:p>
      <w:pPr>
        <w:wordWrap w:val="0"/>
        <w:topLinePunct/>
        <w:spacing w:beforeLines="0" w:afterLines="0" w:line="554" w:lineRule="exact"/>
        <w:ind w:firstLine="640" w:firstLineChars="200"/>
        <w:jc w:val="left"/>
        <w:rPr>
          <w:rFonts w:hint="default" w:ascii="Times New Roman Regular" w:hAnsi="Times New Roman Regular" w:eastAsia="CESI黑体-GB2312" w:cs="Times New Roman Regular"/>
          <w:color w:val="auto"/>
          <w:sz w:val="32"/>
          <w:szCs w:val="32"/>
        </w:rPr>
      </w:pPr>
      <w:r>
        <w:rPr>
          <w:rFonts w:hint="eastAsia" w:ascii="Times New Roman Regular" w:hAnsi="Times New Roman Regular" w:eastAsia="CESI黑体-GB2312" w:cs="Times New Roman Regular"/>
          <w:color w:val="auto"/>
          <w:sz w:val="32"/>
          <w:szCs w:val="32"/>
        </w:rPr>
        <w:t>二、支持对象</w:t>
      </w:r>
    </w:p>
    <w:p>
      <w:pPr>
        <w:spacing w:beforeLines="0" w:afterLines="0" w:line="554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（一）申报主体应当具备独立法人资格，并在江岸区开展经营活动；</w:t>
      </w:r>
    </w:p>
    <w:p>
      <w:pPr>
        <w:spacing w:beforeLines="0" w:afterLines="0" w:line="554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（二）申报主体应当向区内已备案Token服务商调用大模型；</w:t>
      </w:r>
    </w:p>
    <w:p>
      <w:pPr>
        <w:spacing w:beforeLines="0" w:afterLines="0" w:line="554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（三）申报主体应当调用已通过国家网信部门备案的通用大模型，且与大模型服务提供方为非关联企业，不存在直接或间接的控制关系或重大影响关系；</w:t>
      </w:r>
    </w:p>
    <w:p>
      <w:pPr>
        <w:spacing w:beforeLines="0" w:afterLines="0" w:line="554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（四）申报主体年度实际支付费用累计金额5万元（含）以上。</w:t>
      </w:r>
    </w:p>
    <w:p>
      <w:pPr>
        <w:wordWrap w:val="0"/>
        <w:topLinePunct/>
        <w:spacing w:beforeLines="0" w:afterLines="0" w:line="554" w:lineRule="exact"/>
        <w:jc w:val="left"/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</w:pPr>
      <w:r>
        <w:rPr>
          <w:rFonts w:hint="eastAsia" w:ascii="Times New Roman Regular" w:hAnsi="Times New Roman Regular" w:eastAsia="方正仿宋_GBK" w:cs="Times New Roman Regular"/>
          <w:sz w:val="32"/>
          <w:szCs w:val="24"/>
        </w:rPr>
        <w:t xml:space="preserve">    </w:t>
      </w: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>三、申报方式</w:t>
      </w:r>
    </w:p>
    <w:p>
      <w:pPr>
        <w:spacing w:beforeLines="0" w:afterLines="0" w:line="554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）根据区经信和科创局发布的申报通知，按照申报资料清单，提交申报表及相关佐证材料（见附件）。</w:t>
      </w:r>
    </w:p>
    <w:p>
      <w:pPr>
        <w:spacing w:beforeLines="0" w:afterLines="0" w:line="554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申报主体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被依法依规纳入严重失信主体名单或失信惩戒措施清单的，不予资金支持。</w:t>
      </w:r>
    </w:p>
    <w:p>
      <w:pPr>
        <w:spacing w:beforeLines="0" w:afterLines="0" w:line="554" w:lineRule="exact"/>
        <w:ind w:firstLine="640" w:firstLineChars="200"/>
        <w:jc w:val="left"/>
        <w:rPr>
          <w:rFonts w:hint="eastAsia" w:ascii="CESI黑体-GB2312" w:hAnsi="CESI黑体-GB2312" w:eastAsia="CESI黑体-GB2312" w:cs="CESI黑体-GB2312"/>
          <w:snapToGrid w:val="0"/>
          <w:color w:val="auto"/>
          <w:kern w:val="0"/>
          <w:sz w:val="32"/>
          <w:szCs w:val="32"/>
          <w:lang w:val="zh-CN"/>
        </w:rPr>
      </w:pPr>
      <w:r>
        <w:rPr>
          <w:rFonts w:hint="eastAsia" w:ascii="CESI黑体-GB2312" w:hAnsi="CESI黑体-GB2312" w:eastAsia="CESI黑体-GB2312" w:cs="CESI黑体-GB2312"/>
          <w:snapToGrid w:val="0"/>
          <w:color w:val="auto"/>
          <w:kern w:val="0"/>
          <w:sz w:val="32"/>
          <w:szCs w:val="32"/>
        </w:rPr>
        <w:t>四</w:t>
      </w:r>
      <w:r>
        <w:rPr>
          <w:rFonts w:hint="eastAsia" w:ascii="CESI黑体-GB2312" w:hAnsi="CESI黑体-GB2312" w:eastAsia="CESI黑体-GB2312" w:cs="CESI黑体-GB2312"/>
          <w:snapToGrid w:val="0"/>
          <w:color w:val="auto"/>
          <w:kern w:val="0"/>
          <w:sz w:val="32"/>
          <w:szCs w:val="32"/>
          <w:lang w:val="zh-CN"/>
        </w:rPr>
        <w:t>、组织实施</w:t>
      </w:r>
    </w:p>
    <w:p>
      <w:pPr>
        <w:spacing w:beforeLines="0" w:afterLines="0" w:line="554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/>
        </w:rPr>
        <w:t>1.线上申领。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区经信和科创局每季度委托专业服务机构在指定平台发布当季可用Token券额度，开放申领入口，申报单位在平台注册并完成Token券申领。</w:t>
      </w:r>
    </w:p>
    <w:p>
      <w:pPr>
        <w:spacing w:beforeLines="0" w:afterLines="0" w:line="554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/>
        </w:rPr>
        <w:t>2.资格确定。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申报单位按要求上传申报表、服务合同等佐证材料，专业服务机构对材料齐全性、主体资质、交易真实性进行形式审核，确认企业Token券补贴资格。逾期未提交材料或未通过审核的企业，Token券将予以回收，下季度可重新申领。</w:t>
      </w:r>
    </w:p>
    <w:p>
      <w:pPr>
        <w:spacing w:beforeLines="0" w:afterLines="0" w:line="554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/>
        </w:rPr>
        <w:t>3.Token使用。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申报单位按服务合同，完成实际使用。Token券仅限于申报单位自身使用，不得转让、赠送、买卖、出借、重复使用等。</w:t>
      </w:r>
    </w:p>
    <w:p>
      <w:pPr>
        <w:spacing w:beforeLines="0" w:afterLines="0" w:line="554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/>
        </w:rPr>
        <w:t>4.专家评审。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区经信和科创局委托专业服务机构组织专家评审，每季度评审1次，根据申报单位Token使用情况进行评审打分，分数≥70分的，进入实地抽查环节。</w:t>
      </w:r>
    </w:p>
    <w:p>
      <w:pPr>
        <w:spacing w:beforeLines="0" w:afterLines="0" w:line="554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/>
        </w:rPr>
        <w:t>5.实地抽查。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区经信和科创局根据专家评审结果按照约10%比例确定实地抽查单位名单，并联合街道和专业服务机构，通过查阅凭证原件、查看现场、座谈问询等方式，核实企业Token调用业务、费用支出的真实性，抽查结束后由专业服务机构出具报告，对项目申报材料与实地情况一致性作出明确结论。</w:t>
      </w:r>
    </w:p>
    <w:p>
      <w:pPr>
        <w:spacing w:beforeLines="0" w:afterLines="0" w:line="554" w:lineRule="exact"/>
        <w:ind w:firstLine="643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/>
        </w:rPr>
        <w:t>6.名单公示。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对评选出的申报单位，按照局决策程序审议后，提出“江岸区经信和科创局关于Token券补贴资金”拟认定名单，并在官方信息平台向社会公示。公示期限为5个工作日，公示无异议的申报单位，认定为“江岸区经信和科创局关于Token券补贴资金”支持单位。</w:t>
      </w:r>
    </w:p>
    <w:p>
      <w:pPr>
        <w:pStyle w:val="4"/>
        <w:spacing w:beforeLines="0" w:afterLines="0" w:line="554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</w:rPr>
        <w:t>五</w:t>
      </w:r>
      <w:r>
        <w:rPr>
          <w:rFonts w:hint="eastAsia" w:ascii="黑体" w:hAnsi="黑体" w:eastAsia="黑体" w:cs="黑体"/>
          <w:sz w:val="32"/>
          <w:szCs w:val="32"/>
          <w:lang w:val="zh-CN"/>
        </w:rPr>
        <w:t>、支持方式</w:t>
      </w:r>
    </w:p>
    <w:p>
      <w:pPr>
        <w:pStyle w:val="4"/>
        <w:spacing w:beforeLines="0" w:afterLines="0" w:line="554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CN" w:eastAsia="zh-CN" w:bidi="ar-SA"/>
        </w:rPr>
        <w:t>（一）年度Token券补贴总额为1000万元，实行先申报、先评审、先兑现的原则，额满即止。</w:t>
      </w:r>
    </w:p>
    <w:p>
      <w:pPr>
        <w:pStyle w:val="4"/>
        <w:spacing w:beforeLines="0" w:afterLines="0" w:line="554" w:lineRule="exact"/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CN" w:eastAsia="zh-CN" w:bidi="ar-SA"/>
        </w:rPr>
        <w:t>（二）经认定的Token券补贴单位，依据评审结果分档给予补贴，评审得分90分-100分，按实际支付Token费用的30%给予最高30万元补贴；评审得分80-89，按实际支付Token费用的30%给予最高20万元补贴；评审得分70-79，按实际支付Token费用的30%给予最高10万元补贴。</w:t>
      </w:r>
    </w:p>
    <w:p>
      <w:pPr>
        <w:pStyle w:val="4"/>
        <w:spacing w:beforeLines="0" w:afterLines="0" w:line="554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六、有关事项</w:t>
      </w:r>
    </w:p>
    <w:p>
      <w:pPr>
        <w:pStyle w:val="4"/>
        <w:spacing w:beforeLines="0" w:afterLines="0" w:line="554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CN" w:eastAsia="zh-CN" w:bidi="ar-SA"/>
        </w:rPr>
        <w:t>（一）区经信和科创局是本项目的主管部门，统筹协调项目实施工作；区财政局负责将所需资金纳入预算管理；各街道配合开展实地抽查、监督检查、跟踪服务等工作；申报主体应当接受区经信和科创局的监督检查，并按要求配合开展相关工作。</w:t>
      </w:r>
    </w:p>
    <w:p>
      <w:pPr>
        <w:pStyle w:val="4"/>
        <w:spacing w:beforeLines="0" w:afterLines="0" w:line="554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CN" w:eastAsia="zh-CN" w:bidi="ar-SA"/>
        </w:rPr>
        <w:t>（二）申报主体是诚实守信责任人，提供材料存在弄虚作假、使用不正当手段骗取财政资金的，一经查实，区经信和科创局将追回全部资金。区经信和科创局综合考虑科研失信行为的事实、性质、情节、所造成的后果等情况，对相关单位和责任人员依法进行惩戒。涉及违法犯罪的，移送有关部门处理。</w:t>
      </w:r>
    </w:p>
    <w:p>
      <w:pPr>
        <w:pStyle w:val="4"/>
        <w:spacing w:beforeLines="0" w:afterLines="0" w:line="554" w:lineRule="exact"/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CN" w:eastAsia="zh-CN" w:bidi="ar-SA"/>
        </w:rPr>
        <w:t>（三）本实施方案自印发之日起实施，由区经信和科创局负责解释，试行一年，后期根据实施情况按程序修订完善。</w:t>
      </w:r>
    </w:p>
    <w:p>
      <w:pPr>
        <w:pStyle w:val="4"/>
        <w:spacing w:beforeLines="0" w:afterLines="0" w:line="554" w:lineRule="exact"/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>
      <w:pPr>
        <w:pStyle w:val="4"/>
        <w:spacing w:beforeLines="0" w:afterLines="0" w:line="554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附件：1.江岸区Token券补贴资金申报表</w:t>
      </w:r>
    </w:p>
    <w:p>
      <w:pPr>
        <w:pStyle w:val="4"/>
        <w:spacing w:beforeLines="0" w:afterLines="0" w:line="554" w:lineRule="exact"/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2.江岸区Token券补贴项目申报资料清单</w:t>
      </w: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pPr>
        <w:numPr>
          <w:ilvl w:val="0"/>
          <w:numId w:val="0"/>
        </w:numPr>
        <w:tabs>
          <w:tab w:val="left" w:pos="0"/>
        </w:tabs>
        <w:spacing w:beforeLines="0" w:afterLines="0" w:line="570" w:lineRule="exact"/>
        <w:jc w:val="left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附件1</w:t>
      </w:r>
    </w:p>
    <w:p>
      <w:pPr>
        <w:suppressAutoHyphens/>
        <w:spacing w:beforeLines="0" w:afterLines="0" w:line="560" w:lineRule="exact"/>
        <w:jc w:val="center"/>
        <w:rPr>
          <w:rFonts w:hint="eastAsia" w:ascii="文星标宋" w:hAnsi="黑体" w:eastAsia="文星标宋"/>
          <w:spacing w:val="11"/>
          <w:sz w:val="44"/>
          <w:szCs w:val="44"/>
        </w:rPr>
      </w:pPr>
    </w:p>
    <w:p>
      <w:pPr>
        <w:suppressAutoHyphens/>
        <w:spacing w:beforeLines="0" w:afterLines="0" w:line="560" w:lineRule="exact"/>
        <w:jc w:val="center"/>
        <w:rPr>
          <w:rFonts w:hint="eastAsia" w:ascii="文星标宋" w:hAnsi="黑体" w:eastAsia="文星标宋"/>
          <w:spacing w:val="11"/>
          <w:sz w:val="44"/>
          <w:szCs w:val="44"/>
        </w:rPr>
      </w:pPr>
    </w:p>
    <w:p>
      <w:pPr>
        <w:suppressAutoHyphens/>
        <w:spacing w:beforeLines="0" w:afterLines="0" w:line="560" w:lineRule="exact"/>
        <w:jc w:val="center"/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</w:rPr>
        <w:t>江岸区Token券补贴资金申报表</w:t>
      </w:r>
    </w:p>
    <w:p>
      <w:pPr>
        <w:suppressAutoHyphens/>
        <w:spacing w:beforeLines="0" w:afterLines="0"/>
        <w:rPr>
          <w:rFonts w:hint="default" w:eastAsia="宋体"/>
          <w:sz w:val="32"/>
          <w:szCs w:val="24"/>
        </w:rPr>
      </w:pPr>
    </w:p>
    <w:p>
      <w:pPr>
        <w:suppressAutoHyphens/>
        <w:spacing w:beforeLines="0" w:afterLines="0"/>
        <w:rPr>
          <w:rFonts w:hint="default" w:eastAsia="宋体"/>
          <w:sz w:val="32"/>
          <w:szCs w:val="24"/>
        </w:rPr>
      </w:pPr>
    </w:p>
    <w:p>
      <w:pPr>
        <w:suppressAutoHyphens/>
        <w:spacing w:beforeLines="0" w:afterLines="0"/>
        <w:rPr>
          <w:rFonts w:hint="eastAsia" w:ascii="文星黑体" w:hAnsi="文星黑体" w:eastAsia="文星黑体" w:cs="文星黑体"/>
          <w:sz w:val="32"/>
          <w:szCs w:val="32"/>
        </w:rPr>
      </w:pPr>
      <w:r>
        <w:rPr>
          <w:rFonts w:hint="eastAsia" w:ascii="文星黑体" w:hAnsi="文星黑体" w:eastAsia="文星黑体" w:cs="文星黑体"/>
          <w:sz w:val="32"/>
          <w:szCs w:val="32"/>
        </w:rPr>
        <w:t xml:space="preserve">                            </w:t>
      </w:r>
    </w:p>
    <w:p>
      <w:pPr>
        <w:suppressAutoHyphens/>
        <w:spacing w:beforeLines="0" w:afterLines="0"/>
        <w:ind w:firstLine="960" w:firstLineChars="300"/>
        <w:rPr>
          <w:rFonts w:hint="eastAsia" w:ascii="文星黑体" w:hAnsi="文星黑体" w:eastAsia="文星黑体" w:cs="文星黑体"/>
          <w:sz w:val="32"/>
          <w:szCs w:val="32"/>
        </w:rPr>
      </w:pPr>
    </w:p>
    <w:p>
      <w:pPr>
        <w:suppressAutoHyphens/>
        <w:spacing w:beforeLines="0" w:afterLines="0"/>
        <w:ind w:firstLine="960" w:firstLineChars="300"/>
        <w:rPr>
          <w:rFonts w:hint="eastAsia" w:ascii="文星黑体" w:hAnsi="文星黑体" w:eastAsia="文星黑体" w:cs="文星黑体"/>
          <w:sz w:val="32"/>
          <w:szCs w:val="32"/>
        </w:rPr>
      </w:pPr>
    </w:p>
    <w:p>
      <w:pPr>
        <w:suppressAutoHyphens/>
        <w:spacing w:beforeLines="0" w:afterLines="0"/>
        <w:ind w:firstLine="960" w:firstLineChars="300"/>
        <w:rPr>
          <w:rFonts w:hint="eastAsia" w:ascii="文星黑体" w:hAnsi="文星黑体" w:eastAsia="文星黑体" w:cs="文星黑体"/>
          <w:sz w:val="32"/>
          <w:szCs w:val="32"/>
        </w:rPr>
      </w:pPr>
    </w:p>
    <w:p>
      <w:pPr>
        <w:suppressAutoHyphens/>
        <w:spacing w:beforeLines="0" w:afterLines="0"/>
        <w:ind w:firstLine="960" w:firstLineChars="300"/>
        <w:rPr>
          <w:rFonts w:hint="eastAsia" w:ascii="文星黑体" w:hAnsi="文星黑体" w:eastAsia="文星黑体" w:cs="文星黑体"/>
          <w:sz w:val="32"/>
          <w:szCs w:val="32"/>
        </w:rPr>
      </w:pPr>
    </w:p>
    <w:p>
      <w:pPr>
        <w:suppressAutoHyphens/>
        <w:spacing w:beforeLines="0" w:afterLines="0"/>
        <w:ind w:firstLine="960" w:firstLineChars="300"/>
        <w:rPr>
          <w:rFonts w:hint="eastAsia" w:ascii="文星黑体" w:hAnsi="文星黑体" w:eastAsia="文星黑体" w:cs="文星黑体"/>
          <w:sz w:val="32"/>
          <w:szCs w:val="32"/>
        </w:rPr>
      </w:pPr>
    </w:p>
    <w:p>
      <w:pPr>
        <w:suppressAutoHyphens/>
        <w:spacing w:beforeLines="0" w:afterLines="0"/>
        <w:ind w:firstLine="960" w:firstLineChars="300"/>
        <w:rPr>
          <w:rFonts w:hint="eastAsia" w:ascii="文星黑体" w:hAnsi="文星黑体" w:eastAsia="文星黑体" w:cs="文星黑体"/>
          <w:sz w:val="32"/>
          <w:szCs w:val="32"/>
        </w:rPr>
      </w:pPr>
    </w:p>
    <w:p>
      <w:pPr>
        <w:suppressAutoHyphens/>
        <w:spacing w:beforeLines="0" w:afterLines="0"/>
        <w:ind w:firstLine="960" w:firstLineChars="300"/>
        <w:rPr>
          <w:rFonts w:hint="eastAsia" w:ascii="文星黑体" w:hAnsi="文星黑体" w:eastAsia="文星黑体" w:cs="文星黑体"/>
          <w:b/>
          <w:sz w:val="32"/>
          <w:szCs w:val="32"/>
          <w:u w:val="single"/>
        </w:rPr>
      </w:pPr>
      <w:r>
        <w:rPr>
          <w:rFonts w:hint="eastAsia" w:ascii="文星黑体" w:hAnsi="文星黑体" w:eastAsia="文星黑体" w:cs="文星黑体"/>
          <w:sz w:val="32"/>
          <w:szCs w:val="32"/>
        </w:rPr>
        <w:t>申报单位：</w:t>
      </w:r>
      <w:r>
        <w:rPr>
          <w:rFonts w:hint="eastAsia" w:ascii="文星黑体" w:hAnsi="文星黑体" w:eastAsia="文星黑体" w:cs="文星黑体"/>
          <w:sz w:val="32"/>
          <w:szCs w:val="32"/>
          <w:u w:val="single"/>
        </w:rPr>
        <w:t xml:space="preserve">        （盖章）                </w:t>
      </w:r>
    </w:p>
    <w:p>
      <w:pPr>
        <w:suppressAutoHyphens/>
        <w:spacing w:beforeLines="0" w:afterLines="0"/>
        <w:ind w:firstLine="960" w:firstLineChars="300"/>
        <w:rPr>
          <w:rFonts w:hint="eastAsia" w:ascii="文星黑体" w:hAnsi="黑体" w:eastAsia="文星黑体"/>
          <w:sz w:val="32"/>
          <w:szCs w:val="32"/>
        </w:rPr>
      </w:pPr>
      <w:r>
        <w:rPr>
          <w:rFonts w:hint="eastAsia" w:ascii="文星黑体" w:hAnsi="文星黑体" w:eastAsia="文星黑体" w:cs="文星黑体"/>
          <w:sz w:val="32"/>
          <w:szCs w:val="32"/>
        </w:rPr>
        <w:t>单位地址：</w:t>
      </w:r>
      <w:r>
        <w:rPr>
          <w:rFonts w:hint="eastAsia" w:ascii="文星黑体" w:hAnsi="文星黑体" w:eastAsia="文星黑体" w:cs="文星黑体"/>
          <w:sz w:val="32"/>
          <w:szCs w:val="32"/>
          <w:u w:val="single"/>
        </w:rPr>
        <w:t xml:space="preserve">                                </w:t>
      </w:r>
    </w:p>
    <w:p>
      <w:pPr>
        <w:spacing w:beforeLines="0" w:afterLines="0"/>
        <w:rPr>
          <w:rFonts w:hint="eastAsia"/>
          <w:sz w:val="32"/>
          <w:szCs w:val="24"/>
        </w:rPr>
      </w:pPr>
    </w:p>
    <w:p>
      <w:pPr>
        <w:spacing w:beforeLines="0" w:afterLines="0"/>
        <w:rPr>
          <w:rFonts w:hint="eastAsia"/>
          <w:sz w:val="32"/>
          <w:szCs w:val="24"/>
        </w:rPr>
      </w:pPr>
    </w:p>
    <w:p>
      <w:pPr>
        <w:suppressAutoHyphens/>
        <w:spacing w:beforeLines="0" w:afterLines="0" w:line="300" w:lineRule="auto"/>
        <w:rPr>
          <w:rFonts w:hint="eastAsia" w:ascii="文星黑体" w:hAnsi="黑体" w:eastAsia="文星黑体"/>
          <w:sz w:val="32"/>
          <w:szCs w:val="32"/>
        </w:rPr>
      </w:pPr>
    </w:p>
    <w:p>
      <w:pPr>
        <w:suppressAutoHyphens/>
        <w:spacing w:beforeLines="0" w:afterLines="0" w:line="300" w:lineRule="auto"/>
        <w:jc w:val="center"/>
        <w:rPr>
          <w:rFonts w:hint="eastAsia" w:ascii="文星黑体" w:hAnsi="黑体" w:eastAsia="文星黑体"/>
          <w:sz w:val="32"/>
          <w:szCs w:val="32"/>
        </w:rPr>
      </w:pPr>
      <w:r>
        <w:rPr>
          <w:rFonts w:hint="eastAsia" w:ascii="文星黑体" w:hAnsi="黑体" w:eastAsia="文星黑体"/>
          <w:sz w:val="32"/>
          <w:szCs w:val="32"/>
        </w:rPr>
        <w:t>江岸区经济信息化和科技创新局制</w:t>
      </w:r>
    </w:p>
    <w:p>
      <w:pPr>
        <w:spacing w:beforeLines="0" w:afterLines="0"/>
        <w:jc w:val="center"/>
        <w:rPr>
          <w:rFonts w:hint="eastAsia" w:ascii="文星黑体" w:hAnsi="黑体" w:eastAsia="文星黑体"/>
          <w:sz w:val="32"/>
          <w:szCs w:val="32"/>
        </w:rPr>
      </w:pPr>
      <w:r>
        <w:rPr>
          <w:rFonts w:hint="eastAsia" w:ascii="文星黑体" w:hAnsi="黑体" w:eastAsia="文星黑体"/>
          <w:sz w:val="32"/>
          <w:szCs w:val="32"/>
        </w:rPr>
        <w:t>二〇二六年</w:t>
      </w:r>
    </w:p>
    <w:p>
      <w:pPr>
        <w:spacing w:beforeLines="0" w:afterLines="0"/>
        <w:jc w:val="center"/>
        <w:rPr>
          <w:rFonts w:hint="eastAsia" w:ascii="文星黑体" w:hAnsi="黑体" w:eastAsia="文星黑体"/>
          <w:sz w:val="32"/>
          <w:szCs w:val="32"/>
        </w:rPr>
      </w:pPr>
    </w:p>
    <w:p>
      <w:pPr>
        <w:spacing w:beforeLines="0" w:afterLines="0"/>
        <w:jc w:val="center"/>
        <w:rPr>
          <w:rFonts w:hint="eastAsia" w:ascii="文星黑体" w:hAnsi="黑体" w:eastAsia="文星黑体"/>
          <w:sz w:val="32"/>
          <w:szCs w:val="32"/>
        </w:rPr>
      </w:pPr>
    </w:p>
    <w:p>
      <w:pPr>
        <w:numPr>
          <w:ilvl w:val="0"/>
          <w:numId w:val="0"/>
        </w:numPr>
        <w:spacing w:beforeLines="0" w:afterLines="0" w:line="560" w:lineRule="exact"/>
        <w:jc w:val="center"/>
        <w:rPr>
          <w:rFonts w:hint="eastAsia" w:ascii="Times New Roman" w:hAnsi="Times New Roman" w:eastAsia="方正公文小标宋" w:cs="方正公文小标宋"/>
          <w:sz w:val="40"/>
          <w:szCs w:val="48"/>
        </w:rPr>
      </w:pPr>
      <w:r>
        <w:rPr>
          <w:rFonts w:hint="eastAsia" w:ascii="Times New Roman" w:hAnsi="Times New Roman" w:eastAsia="方正公文小标宋" w:cs="方正公文小标宋"/>
          <w:sz w:val="40"/>
          <w:szCs w:val="48"/>
        </w:rPr>
        <w:t>填报说明</w:t>
      </w:r>
    </w:p>
    <w:p>
      <w:pPr>
        <w:numPr>
          <w:ilvl w:val="0"/>
          <w:numId w:val="0"/>
        </w:numPr>
        <w:spacing w:beforeLines="0" w:afterLines="0" w:line="560" w:lineRule="exact"/>
        <w:jc w:val="center"/>
        <w:rPr>
          <w:rFonts w:hint="eastAsia" w:ascii="Times New Roman" w:hAnsi="Times New Roman" w:eastAsia="方正公文小标宋" w:cs="方正公文小标宋"/>
          <w:sz w:val="40"/>
          <w:szCs w:val="48"/>
        </w:rPr>
      </w:pPr>
    </w:p>
    <w:p>
      <w:pPr>
        <w:numPr>
          <w:ilvl w:val="0"/>
          <w:numId w:val="0"/>
        </w:num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一、本申报表为申请江岸区Token券补贴的企业填写。</w:t>
      </w:r>
    </w:p>
    <w:p>
      <w:pPr>
        <w:numPr>
          <w:ilvl w:val="0"/>
          <w:numId w:val="0"/>
        </w:num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二、申请企业应按照填写要求和实际情况，认真准确填写各个表项。</w:t>
      </w:r>
    </w:p>
    <w:p>
      <w:pPr>
        <w:numPr>
          <w:ilvl w:val="0"/>
          <w:numId w:val="0"/>
        </w:num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三、申请企业必须在申请书后附相关证明材料，申请企业须对申请材料真实性负责并签署《承诺书》</w:t>
      </w:r>
    </w:p>
    <w:p>
      <w:pPr>
        <w:numPr>
          <w:ilvl w:val="0"/>
          <w:numId w:val="0"/>
        </w:num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四、申请表填报项目页面不足时，可另附页。纸质材料请使用A4纸双面印刷，装订平整，采用普通纸质材料作为封面。</w:t>
      </w:r>
    </w:p>
    <w:p>
      <w:pPr>
        <w:numPr>
          <w:ilvl w:val="0"/>
          <w:numId w:val="0"/>
        </w:numPr>
        <w:spacing w:beforeLines="0" w:afterLines="0" w:line="560" w:lineRule="exact"/>
        <w:rPr>
          <w:rFonts w:hint="eastAsia" w:ascii="Times New Roman" w:hAnsi="Times New Roman" w:eastAsia="仿宋_GB2312" w:cs="仿宋_GB2312"/>
          <w:sz w:val="28"/>
          <w:szCs w:val="28"/>
        </w:rPr>
      </w:pPr>
    </w:p>
    <w:p>
      <w:pPr>
        <w:spacing w:beforeLines="0" w:afterLines="0"/>
        <w:ind w:firstLine="640" w:firstLineChars="200"/>
        <w:rPr>
          <w:rFonts w:hint="eastAsia" w:ascii="文星黑体" w:hAnsi="黑体" w:eastAsia="文星黑体"/>
          <w:sz w:val="32"/>
          <w:szCs w:val="32"/>
        </w:rPr>
      </w:pPr>
    </w:p>
    <w:p>
      <w:pPr>
        <w:spacing w:beforeLines="0" w:afterLines="0"/>
        <w:ind w:firstLine="640" w:firstLineChars="200"/>
        <w:rPr>
          <w:rFonts w:hint="eastAsia" w:ascii="文星黑体" w:hAnsi="黑体" w:eastAsia="文星黑体"/>
          <w:sz w:val="32"/>
          <w:szCs w:val="32"/>
        </w:rPr>
      </w:pPr>
    </w:p>
    <w:p>
      <w:pPr>
        <w:spacing w:beforeLines="0" w:afterLines="0"/>
        <w:ind w:firstLine="640" w:firstLineChars="200"/>
        <w:rPr>
          <w:rFonts w:hint="eastAsia" w:ascii="文星黑体" w:hAnsi="黑体" w:eastAsia="文星黑体"/>
          <w:sz w:val="32"/>
          <w:szCs w:val="32"/>
        </w:rPr>
      </w:pPr>
    </w:p>
    <w:p>
      <w:pPr>
        <w:spacing w:beforeLines="0" w:afterLines="0"/>
        <w:ind w:firstLine="640" w:firstLineChars="200"/>
        <w:rPr>
          <w:rFonts w:hint="eastAsia" w:ascii="文星黑体" w:hAnsi="黑体" w:eastAsia="文星黑体"/>
          <w:sz w:val="32"/>
          <w:szCs w:val="32"/>
        </w:rPr>
      </w:pPr>
    </w:p>
    <w:p>
      <w:pPr>
        <w:spacing w:beforeLines="0" w:afterLines="0"/>
        <w:ind w:firstLine="640" w:firstLineChars="200"/>
        <w:rPr>
          <w:rFonts w:hint="eastAsia" w:ascii="文星黑体" w:hAnsi="黑体" w:eastAsia="文星黑体"/>
          <w:sz w:val="32"/>
          <w:szCs w:val="32"/>
        </w:rPr>
      </w:pPr>
    </w:p>
    <w:p>
      <w:pPr>
        <w:spacing w:beforeLines="0" w:afterLines="0"/>
        <w:ind w:firstLine="640" w:firstLineChars="200"/>
        <w:rPr>
          <w:rFonts w:hint="eastAsia" w:ascii="文星黑体" w:hAnsi="黑体" w:eastAsia="文星黑体"/>
          <w:sz w:val="32"/>
          <w:szCs w:val="32"/>
        </w:rPr>
      </w:pPr>
    </w:p>
    <w:p>
      <w:pPr>
        <w:spacing w:beforeLines="0" w:afterLines="0"/>
        <w:ind w:firstLine="640" w:firstLineChars="200"/>
        <w:rPr>
          <w:rFonts w:hint="eastAsia" w:ascii="文星黑体" w:hAnsi="黑体" w:eastAsia="文星黑体"/>
          <w:sz w:val="32"/>
          <w:szCs w:val="32"/>
        </w:rPr>
      </w:pPr>
    </w:p>
    <w:p>
      <w:pPr>
        <w:spacing w:beforeLines="0" w:afterLines="0"/>
        <w:ind w:firstLine="640" w:firstLineChars="200"/>
        <w:rPr>
          <w:rFonts w:hint="eastAsia" w:ascii="文星黑体" w:hAnsi="黑体" w:eastAsia="文星黑体"/>
          <w:sz w:val="32"/>
          <w:szCs w:val="32"/>
        </w:rPr>
      </w:pPr>
    </w:p>
    <w:p>
      <w:pPr>
        <w:spacing w:beforeLines="0" w:afterLines="0"/>
        <w:rPr>
          <w:rFonts w:hint="eastAsia" w:ascii="文星黑体" w:hAnsi="黑体" w:eastAsia="文星黑体"/>
          <w:sz w:val="32"/>
          <w:szCs w:val="32"/>
        </w:rPr>
      </w:pPr>
    </w:p>
    <w:p>
      <w:pPr>
        <w:numPr>
          <w:ilvl w:val="0"/>
          <w:numId w:val="0"/>
        </w:numPr>
        <w:spacing w:beforeLines="0" w:afterLines="0" w:line="560" w:lineRule="exact"/>
        <w:jc w:val="center"/>
        <w:rPr>
          <w:rFonts w:hint="eastAsia" w:ascii="Times New Roman" w:hAnsi="Times New Roman" w:eastAsia="方正公文小标宋" w:cs="方正公文小标宋"/>
          <w:sz w:val="40"/>
          <w:szCs w:val="48"/>
        </w:rPr>
      </w:pPr>
    </w:p>
    <w:p>
      <w:pPr>
        <w:numPr>
          <w:ilvl w:val="0"/>
          <w:numId w:val="0"/>
        </w:numPr>
        <w:spacing w:beforeLines="0" w:afterLines="0" w:line="560" w:lineRule="exact"/>
        <w:jc w:val="center"/>
        <w:rPr>
          <w:rFonts w:hint="eastAsia" w:ascii="Times New Roman" w:hAnsi="Times New Roman" w:eastAsia="方正公文小标宋" w:cs="方正公文小标宋"/>
          <w:sz w:val="40"/>
          <w:szCs w:val="48"/>
        </w:rPr>
      </w:pPr>
    </w:p>
    <w:p>
      <w:pPr>
        <w:numPr>
          <w:ilvl w:val="0"/>
          <w:numId w:val="0"/>
        </w:numPr>
        <w:spacing w:beforeLines="0" w:afterLines="0" w:line="560" w:lineRule="exact"/>
        <w:jc w:val="center"/>
        <w:rPr>
          <w:rFonts w:hint="eastAsia" w:ascii="Times New Roman" w:hAnsi="Times New Roman" w:eastAsia="方正公文小标宋" w:cs="方正公文小标宋"/>
          <w:sz w:val="40"/>
          <w:szCs w:val="48"/>
        </w:rPr>
      </w:pPr>
    </w:p>
    <w:p>
      <w:pPr>
        <w:numPr>
          <w:ilvl w:val="0"/>
          <w:numId w:val="0"/>
        </w:numPr>
        <w:spacing w:beforeLines="0" w:afterLines="0" w:line="560" w:lineRule="exact"/>
        <w:jc w:val="center"/>
        <w:rPr>
          <w:rFonts w:hint="eastAsia" w:ascii="Times New Roman" w:hAnsi="Times New Roman" w:eastAsia="方正公文小标宋" w:cs="方正公文小标宋"/>
          <w:sz w:val="40"/>
          <w:szCs w:val="48"/>
        </w:rPr>
      </w:pPr>
      <w:r>
        <w:rPr>
          <w:rFonts w:hint="eastAsia" w:ascii="Times New Roman" w:hAnsi="Times New Roman" w:eastAsia="方正公文小标宋" w:cs="方正公文小标宋"/>
          <w:sz w:val="40"/>
          <w:szCs w:val="48"/>
        </w:rPr>
        <w:t>承诺书</w:t>
      </w:r>
    </w:p>
    <w:p>
      <w:pPr>
        <w:numPr>
          <w:ilvl w:val="0"/>
          <w:numId w:val="0"/>
        </w:numPr>
        <w:spacing w:beforeLines="0" w:afterLines="0" w:line="56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40"/>
        </w:rPr>
      </w:pPr>
    </w:p>
    <w:p>
      <w:pPr>
        <w:numPr>
          <w:ilvl w:val="0"/>
          <w:numId w:val="0"/>
        </w:numPr>
        <w:spacing w:beforeLines="0" w:afterLines="0" w:line="56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本企业郑重承诺，所有申请材料真实、有效、合法，复印件及电子文本与原件一致。企业近三年未纳入失信名单，未出现债务违约，未发生重大安全、服务质量、数据造假、环境污染等违法违规行为或风险事件。如申请材料中有虚假、伪造等情况，本企业将承担因材料不实引发的一切后果及相应的法律责任。</w:t>
      </w:r>
    </w:p>
    <w:p>
      <w:pPr>
        <w:numPr>
          <w:ilvl w:val="0"/>
          <w:numId w:val="0"/>
        </w:numPr>
        <w:spacing w:beforeLines="0" w:afterLines="0" w:line="56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40"/>
        </w:rPr>
      </w:pPr>
    </w:p>
    <w:p>
      <w:pPr>
        <w:numPr>
          <w:ilvl w:val="0"/>
          <w:numId w:val="0"/>
        </w:numPr>
        <w:spacing w:beforeLines="0" w:afterLines="0" w:line="56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40"/>
        </w:rPr>
      </w:pPr>
    </w:p>
    <w:p>
      <w:pPr>
        <w:numPr>
          <w:ilvl w:val="0"/>
          <w:numId w:val="0"/>
        </w:numPr>
        <w:spacing w:beforeLines="0" w:afterLines="0" w:line="560" w:lineRule="exact"/>
        <w:ind w:firstLine="2880" w:firstLineChars="900"/>
        <w:jc w:val="left"/>
        <w:rPr>
          <w:rFonts w:hint="eastAsia"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申请企业负责人签字（盖章）：</w:t>
      </w:r>
    </w:p>
    <w:p>
      <w:pPr>
        <w:numPr>
          <w:ilvl w:val="0"/>
          <w:numId w:val="0"/>
        </w:numPr>
        <w:spacing w:beforeLines="0" w:afterLines="0" w:line="560" w:lineRule="exact"/>
        <w:ind w:firstLine="3840" w:firstLineChars="1200"/>
        <w:jc w:val="left"/>
        <w:rPr>
          <w:rFonts w:hint="eastAsia"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XXX年XX月XX日</w:t>
      </w:r>
    </w:p>
    <w:p>
      <w:pPr>
        <w:pStyle w:val="3"/>
        <w:spacing w:beforeLines="0" w:afterLines="0"/>
        <w:rPr>
          <w:rFonts w:hint="eastAsia" w:ascii="文星黑体" w:hAnsi="黑体" w:eastAsia="文星黑体"/>
          <w:sz w:val="32"/>
          <w:szCs w:val="32"/>
        </w:rPr>
      </w:pPr>
    </w:p>
    <w:p>
      <w:pPr>
        <w:pStyle w:val="4"/>
        <w:spacing w:beforeLines="0" w:afterLines="0"/>
        <w:rPr>
          <w:rFonts w:hint="eastAsia" w:ascii="文星黑体" w:hAnsi="黑体" w:eastAsia="文星黑体"/>
          <w:sz w:val="32"/>
          <w:szCs w:val="32"/>
        </w:rPr>
      </w:pPr>
    </w:p>
    <w:p>
      <w:pPr>
        <w:pStyle w:val="3"/>
        <w:spacing w:beforeLines="0" w:afterLines="0"/>
        <w:rPr>
          <w:rFonts w:hint="eastAsia" w:ascii="文星黑体" w:hAnsi="黑体" w:eastAsia="文星黑体"/>
          <w:sz w:val="32"/>
          <w:szCs w:val="32"/>
        </w:rPr>
      </w:pPr>
    </w:p>
    <w:p>
      <w:pPr>
        <w:pStyle w:val="4"/>
        <w:spacing w:beforeLines="0" w:afterLines="0"/>
        <w:rPr>
          <w:rFonts w:hint="eastAsia" w:ascii="文星黑体" w:hAnsi="黑体" w:eastAsia="文星黑体"/>
          <w:sz w:val="32"/>
          <w:szCs w:val="32"/>
        </w:rPr>
      </w:pPr>
    </w:p>
    <w:p>
      <w:pPr>
        <w:pStyle w:val="3"/>
        <w:spacing w:beforeLines="0" w:afterLines="0"/>
        <w:rPr>
          <w:rFonts w:hint="eastAsia"/>
          <w:sz w:val="32"/>
          <w:szCs w:val="20"/>
        </w:rPr>
      </w:pPr>
    </w:p>
    <w:p>
      <w:pPr>
        <w:pStyle w:val="3"/>
        <w:spacing w:beforeLines="0" w:afterLines="0"/>
        <w:rPr>
          <w:rFonts w:hint="eastAsia"/>
          <w:sz w:val="32"/>
          <w:szCs w:val="20"/>
        </w:rPr>
      </w:pPr>
    </w:p>
    <w:p>
      <w:pPr>
        <w:pStyle w:val="3"/>
        <w:spacing w:beforeLines="0" w:afterLines="0"/>
        <w:rPr>
          <w:rFonts w:hint="eastAsia" w:ascii="文星黑体" w:hAnsi="黑体" w:eastAsia="文星黑体"/>
          <w:sz w:val="32"/>
          <w:szCs w:val="32"/>
        </w:rPr>
      </w:pPr>
    </w:p>
    <w:p>
      <w:pPr>
        <w:pStyle w:val="4"/>
        <w:spacing w:beforeLines="0" w:afterLines="0"/>
        <w:rPr>
          <w:rFonts w:hint="eastAsia" w:ascii="文星黑体" w:hAnsi="黑体" w:eastAsia="文星黑体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lnNumType w:countBy="0" w:distance="360"/>
          <w:cols w:space="720" w:num="1"/>
          <w:docGrid w:type="lines" w:linePitch="312" w:charSpace="0"/>
        </w:sectPr>
      </w:pPr>
    </w:p>
    <w:p>
      <w:pPr>
        <w:spacing w:beforeLines="0" w:afterLines="0" w:line="56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</w:p>
    <w:tbl>
      <w:tblPr>
        <w:tblStyle w:val="6"/>
        <w:tblW w:w="9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029"/>
        <w:gridCol w:w="684"/>
        <w:gridCol w:w="388"/>
        <w:gridCol w:w="647"/>
        <w:gridCol w:w="168"/>
        <w:gridCol w:w="1180"/>
        <w:gridCol w:w="276"/>
        <w:gridCol w:w="1078"/>
        <w:gridCol w:w="845"/>
        <w:gridCol w:w="990"/>
        <w:gridCol w:w="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default" w:ascii="Times New Roman" w:hAnsi="Times New Roman" w:eastAsia="宋体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color w:val="333333"/>
                <w:kern w:val="0"/>
                <w:sz w:val="24"/>
                <w:szCs w:val="24"/>
              </w:rPr>
              <w:t>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27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56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所在地区</w:t>
            </w:r>
          </w:p>
        </w:tc>
        <w:tc>
          <w:tcPr>
            <w:tcW w:w="3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56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27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56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邮编</w:t>
            </w:r>
          </w:p>
        </w:tc>
        <w:tc>
          <w:tcPr>
            <w:tcW w:w="3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56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法人代表</w:t>
            </w: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手机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联系人</w:t>
            </w: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手机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53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企业类型</w:t>
            </w:r>
          </w:p>
        </w:tc>
        <w:tc>
          <w:tcPr>
            <w:tcW w:w="81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u w:val="none" w:color="auto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国有       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none" w:color="auto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合资       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none" w:color="auto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民营       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none" w:color="auto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注册时间</w:t>
            </w:r>
          </w:p>
        </w:tc>
        <w:tc>
          <w:tcPr>
            <w:tcW w:w="1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注册资本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使用大模型名称</w:t>
            </w:r>
          </w:p>
        </w:tc>
        <w:tc>
          <w:tcPr>
            <w:tcW w:w="70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5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企业生产</w:t>
            </w:r>
          </w:p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经营情况</w:t>
            </w:r>
          </w:p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（单位：万元）</w:t>
            </w:r>
          </w:p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年份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营业</w:t>
            </w:r>
          </w:p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收入</w:t>
            </w:r>
          </w:p>
        </w:tc>
        <w:tc>
          <w:tcPr>
            <w:tcW w:w="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纳税金额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净利润</w:t>
            </w:r>
          </w:p>
        </w:tc>
        <w:tc>
          <w:tcPr>
            <w:tcW w:w="1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总资产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固定资产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资产负债率（%）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员工人数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上一年度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本年度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6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企业简介</w:t>
            </w:r>
          </w:p>
        </w:tc>
        <w:tc>
          <w:tcPr>
            <w:tcW w:w="81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（500字以内，含企业主营业务、主导产品及获奖情况）</w:t>
            </w:r>
          </w:p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spacing w:beforeLines="0" w:afterLines="0"/>
        <w:rPr>
          <w:rFonts w:hint="eastAsia" w:ascii="方正黑体_GBK" w:hAnsi="方正黑体_GBK" w:eastAsia="方正黑体_GBK" w:cs="方正黑体_GBK"/>
          <w:sz w:val="32"/>
          <w:szCs w:val="24"/>
        </w:rPr>
      </w:pPr>
      <w:r>
        <w:rPr>
          <w:rFonts w:hint="eastAsia" w:ascii="方正黑体_GBK" w:hAnsi="方正黑体_GBK" w:eastAsia="方正黑体_GBK" w:cs="方正黑体_GBK"/>
          <w:sz w:val="32"/>
          <w:szCs w:val="24"/>
        </w:rPr>
        <w:br w:type="page"/>
      </w:r>
    </w:p>
    <w:p>
      <w:pPr>
        <w:pStyle w:val="3"/>
        <w:wordWrap w:val="0"/>
        <w:topLinePunct/>
        <w:spacing w:beforeLines="0" w:afterLines="0" w:line="560" w:lineRule="exact"/>
        <w:rPr>
          <w:rFonts w:hint="eastAsia"/>
          <w:sz w:val="32"/>
          <w:szCs w:val="20"/>
        </w:rPr>
      </w:pPr>
      <w:r>
        <w:rPr>
          <w:rFonts w:hint="eastAsia" w:ascii="方正黑体_GBK" w:hAnsi="方正黑体_GBK" w:eastAsia="方正黑体_GBK" w:cs="方正黑体_GBK"/>
          <w:sz w:val="32"/>
          <w:szCs w:val="20"/>
        </w:rPr>
        <w:t>附件2</w:t>
      </w:r>
    </w:p>
    <w:p>
      <w:pPr>
        <w:pStyle w:val="3"/>
        <w:wordWrap w:val="0"/>
        <w:topLinePunct/>
        <w:spacing w:beforeLines="0" w:afterLines="0" w:line="560" w:lineRule="exact"/>
        <w:rPr>
          <w:rFonts w:hint="eastAsia"/>
          <w:sz w:val="32"/>
          <w:szCs w:val="20"/>
        </w:rPr>
      </w:pPr>
      <w:r>
        <w:rPr>
          <w:rFonts w:hint="eastAsia"/>
          <w:sz w:val="32"/>
          <w:szCs w:val="20"/>
        </w:rPr>
        <w:t xml:space="preserve"> </w:t>
      </w:r>
    </w:p>
    <w:p>
      <w:pPr>
        <w:pStyle w:val="2"/>
        <w:widowControl w:val="0"/>
        <w:wordWrap w:val="0"/>
        <w:topLinePunct/>
        <w:spacing w:before="0" w:beforeLines="0" w:after="0" w:afterLines="0" w:line="5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sz w:val="4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  <w:t>江岸区Token券补贴项目申报资料清单</w:t>
      </w:r>
    </w:p>
    <w:p>
      <w:pPr>
        <w:pStyle w:val="4"/>
        <w:spacing w:beforeLines="0" w:afterLines="0"/>
        <w:rPr>
          <w:rFonts w:hint="default" w:ascii="Times New Roman" w:hAnsi="Times New Roman"/>
          <w:sz w:val="21"/>
          <w:szCs w:val="24"/>
        </w:rPr>
      </w:pPr>
    </w:p>
    <w:p>
      <w:pPr>
        <w:pStyle w:val="3"/>
        <w:wordWrap w:val="0"/>
        <w:topLinePunct/>
        <w:spacing w:beforeLines="0" w:afterLines="0" w:line="560" w:lineRule="exact"/>
        <w:ind w:firstLine="631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一、《项目申报书》（加盖单位公章）</w:t>
      </w:r>
    </w:p>
    <w:p>
      <w:pPr>
        <w:pStyle w:val="3"/>
        <w:wordWrap w:val="0"/>
        <w:topLinePunct/>
        <w:spacing w:beforeLines="0" w:afterLines="0" w:line="560" w:lineRule="exact"/>
        <w:ind w:firstLine="631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二、申报主体统一社会信用代码营业执照复印件（加盖单位公章）</w:t>
      </w:r>
    </w:p>
    <w:p>
      <w:pPr>
        <w:pStyle w:val="3"/>
        <w:wordWrap w:val="0"/>
        <w:topLinePunct/>
        <w:spacing w:beforeLines="0" w:afterLines="0" w:line="560" w:lineRule="exact"/>
        <w:ind w:firstLine="631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三、相关证明材料（加盖单位公章）</w:t>
      </w:r>
    </w:p>
    <w:p>
      <w:pPr>
        <w:pStyle w:val="3"/>
        <w:wordWrap w:val="0"/>
        <w:topLinePunct/>
        <w:spacing w:beforeLines="0" w:afterLines="0" w:line="560" w:lineRule="exact"/>
        <w:ind w:firstLine="631"/>
        <w:rPr>
          <w:rFonts w:hint="default" w:ascii="Times New Roman" w:hAnsi="Times New Roman" w:eastAsia="方正仿宋_GB2312"/>
          <w:sz w:val="32"/>
          <w:szCs w:val="32"/>
        </w:rPr>
      </w:pPr>
      <w:r>
        <w:rPr>
          <w:rFonts w:hint="default" w:ascii="Times New Roman" w:hAnsi="Times New Roman" w:eastAsia="方正仿宋_GB2312"/>
          <w:sz w:val="32"/>
          <w:szCs w:val="32"/>
        </w:rPr>
        <w:t>1.</w:t>
      </w:r>
      <w:r>
        <w:rPr>
          <w:rFonts w:hint="eastAsia" w:ascii="Times New Roman" w:hAnsi="Times New Roman" w:eastAsia="方正仿宋_GB2312"/>
          <w:sz w:val="32"/>
          <w:szCs w:val="32"/>
        </w:rPr>
        <w:t>项目使用说明（含大模型名称、应用场景、业务用途、使用周期、预期成效）；</w:t>
      </w:r>
    </w:p>
    <w:p>
      <w:pPr>
        <w:pStyle w:val="3"/>
        <w:wordWrap w:val="0"/>
        <w:topLinePunct/>
        <w:spacing w:beforeLines="0" w:afterLines="0" w:line="560" w:lineRule="exact"/>
        <w:ind w:firstLine="631"/>
        <w:rPr>
          <w:rFonts w:hint="default" w:ascii="Times New Roman" w:hAnsi="Times New Roman" w:eastAsia="方正仿宋_GB2312"/>
          <w:sz w:val="32"/>
          <w:szCs w:val="32"/>
        </w:rPr>
      </w:pPr>
      <w:r>
        <w:rPr>
          <w:rFonts w:hint="default" w:ascii="Times New Roman" w:hAnsi="Times New Roman" w:eastAsia="方正仿宋_GB2312"/>
          <w:sz w:val="32"/>
          <w:szCs w:val="32"/>
        </w:rPr>
        <w:t>2.</w:t>
      </w:r>
      <w:r>
        <w:rPr>
          <w:rFonts w:hint="eastAsia" w:ascii="Times New Roman" w:hAnsi="Times New Roman" w:eastAsia="方正仿宋_GB2312"/>
          <w:sz w:val="32"/>
          <w:szCs w:val="32"/>
        </w:rPr>
        <w:t>模型调用费用佐证（含采购合同、付款凭证、发票、后台调用账单等材料）；</w:t>
      </w:r>
    </w:p>
    <w:p>
      <w:pPr>
        <w:pStyle w:val="3"/>
        <w:wordWrap w:val="0"/>
        <w:topLinePunct/>
        <w:spacing w:beforeLines="0" w:afterLines="0" w:line="560" w:lineRule="exact"/>
        <w:ind w:firstLine="631"/>
        <w:rPr>
          <w:rFonts w:hint="default" w:ascii="Times New Roman" w:hAnsi="Times New Roman" w:eastAsia="方正仿宋_GB2312"/>
          <w:sz w:val="32"/>
          <w:szCs w:val="32"/>
        </w:rPr>
      </w:pPr>
      <w:r>
        <w:rPr>
          <w:rFonts w:hint="default" w:ascii="Times New Roman" w:hAnsi="Times New Roman" w:eastAsia="方正仿宋_GB2312"/>
          <w:sz w:val="32"/>
          <w:szCs w:val="32"/>
        </w:rPr>
        <w:t>3.</w:t>
      </w:r>
      <w:r>
        <w:rPr>
          <w:rFonts w:hint="eastAsia" w:ascii="Times New Roman" w:hAnsi="Times New Roman" w:eastAsia="方正仿宋_GB2312"/>
          <w:sz w:val="32"/>
          <w:szCs w:val="32"/>
        </w:rPr>
        <w:t>企业数智化经营及应用落地证明材料；</w:t>
      </w:r>
    </w:p>
    <w:p>
      <w:pPr>
        <w:pStyle w:val="3"/>
        <w:wordWrap w:val="0"/>
        <w:topLinePunct/>
        <w:spacing w:beforeLines="0" w:afterLines="0" w:line="560" w:lineRule="exact"/>
        <w:ind w:firstLine="631"/>
        <w:rPr>
          <w:rFonts w:hint="default" w:ascii="Times New Roman" w:hAnsi="Times New Roman" w:eastAsia="方正仿宋_GB2312"/>
          <w:sz w:val="32"/>
          <w:szCs w:val="32"/>
        </w:rPr>
      </w:pPr>
      <w:r>
        <w:rPr>
          <w:rFonts w:hint="default" w:ascii="Times New Roman" w:hAnsi="Times New Roman" w:eastAsia="方正仿宋_GB2312"/>
          <w:sz w:val="32"/>
          <w:szCs w:val="32"/>
        </w:rPr>
        <w:t>4.</w:t>
      </w:r>
      <w:r>
        <w:rPr>
          <w:rFonts w:hint="eastAsia" w:ascii="Times New Roman" w:hAnsi="Times New Roman" w:eastAsia="方正仿宋_GB2312"/>
          <w:sz w:val="32"/>
          <w:szCs w:val="32"/>
        </w:rPr>
        <w:t>企业相关业务资质、平台系统、应用成果等佐证材料（如有）。</w:t>
      </w:r>
    </w:p>
    <w:p>
      <w:pPr>
        <w:pStyle w:val="3"/>
        <w:wordWrap w:val="0"/>
        <w:topLinePunct/>
        <w:spacing w:beforeLines="0" w:afterLines="0" w:line="560" w:lineRule="exact"/>
        <w:ind w:firstLine="631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四、申报主体公共信用信息报告（信用中国下载，加盖公章）</w:t>
      </w:r>
    </w:p>
    <w:p>
      <w:pPr>
        <w:pStyle w:val="3"/>
        <w:wordWrap w:val="0"/>
        <w:topLinePunct/>
        <w:spacing w:beforeLines="0" w:afterLines="0" w:line="560" w:lineRule="exact"/>
        <w:ind w:firstLine="631"/>
        <w:rPr>
          <w:rFonts w:hint="eastAsia" w:ascii="黑体" w:hAnsi="黑体" w:eastAsia="黑体" w:cs="黑体"/>
          <w:sz w:val="32"/>
          <w:szCs w:val="32"/>
        </w:rPr>
        <w:sectPr>
          <w:pgSz w:w="11906" w:h="16838"/>
          <w:pgMar w:top="2098" w:right="1531" w:bottom="1984" w:left="1531" w:header="851" w:footer="992" w:gutter="0"/>
          <w:lnNumType w:countBy="0" w:distance="360"/>
          <w:cols w:space="720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32"/>
          <w:szCs w:val="32"/>
        </w:rPr>
        <w:t>五、承诺书（加盖公章）</w:t>
      </w:r>
    </w:p>
    <w:p>
      <w:bookmarkStart w:id="0" w:name="_GoBack"/>
      <w:bookmarkEnd w:id="0"/>
    </w:p>
    <w:sectPr>
      <w:pgSz w:w="11906" w:h="16838"/>
      <w:pgMar w:top="2098" w:right="1531" w:bottom="1984" w:left="153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DejaVu Sans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文星标宋">
    <w:altName w:val="方正书宋_GBK"/>
    <w:panose1 w:val="02010609000101010101"/>
    <w:charset w:val="86"/>
    <w:family w:val="modern"/>
    <w:pitch w:val="default"/>
    <w:sig w:usb0="00000000" w:usb1="00000000" w:usb2="00000000" w:usb3="00000000" w:csb0="00040000" w:csb1="00000000"/>
  </w:font>
  <w:font w:name="文星黑体">
    <w:altName w:val="方正黑体_GBK"/>
    <w:panose1 w:val="02010609000101010101"/>
    <w:charset w:val="86"/>
    <w:family w:val="modern"/>
    <w:pitch w:val="default"/>
    <w:sig w:usb0="00000000" w:usb1="00000000" w:usb2="00000000" w:usb3="00000000" w:csb0="0004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beforeLines="0" w:afterLines="0"/>
      <w:rPr>
        <w:rFonts w:hint="default"/>
        <w:sz w:val="18"/>
        <w:szCs w:val="24"/>
      </w:rPr>
    </w:pPr>
    <w:r>
      <w:rPr>
        <w:rFonts w:hint="default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spacing w:beforeLines="0" w:afterLine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M6p&#10;ebnPAAAABQEAAA8AAAAAAAAAAQAgAAAAOAAAAGRycy9kb3ducmV2LnhtbFBLAQIUABQAAAAIAIdO&#10;4kCTrSFu3QEAAL4DAAAOAAAAAAAAAAEAIAAAADQ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spacing w:beforeLines="0" w:afterLines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F953CF4"/>
    <w:rsid w:val="76832A4F"/>
    <w:rsid w:val="DEF6A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3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unhideWhenUsed/>
    <w:qFormat/>
    <w:uiPriority w:val="0"/>
    <w:pPr>
      <w:spacing w:before="380" w:beforeLines="0" w:after="140" w:afterLines="0" w:line="288" w:lineRule="auto"/>
      <w:outlineLvl w:val="0"/>
    </w:pPr>
    <w:rPr>
      <w:rFonts w:hint="default" w:ascii="Arial" w:hAnsi="Arial" w:eastAsia="等线" w:cs="Arial"/>
      <w:b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4"/>
    <w:next w:val="4"/>
    <w:unhideWhenUsed/>
    <w:qFormat/>
    <w:uiPriority w:val="3"/>
    <w:pPr>
      <w:spacing w:beforeLines="0" w:afterLines="0" w:line="540" w:lineRule="exact"/>
      <w:jc w:val="left"/>
    </w:pPr>
    <w:rPr>
      <w:rFonts w:hint="eastAsia" w:ascii="楷体_GB2312" w:eastAsia="楷体_GB2312"/>
      <w:sz w:val="32"/>
      <w:szCs w:val="20"/>
    </w:rPr>
  </w:style>
  <w:style w:type="paragraph" w:customStyle="1" w:styleId="4">
    <w:name w:val="正文_0"/>
    <w:next w:val="3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customStyle="1" w:styleId="8">
    <w:name w:val="_Style 13"/>
    <w:unhideWhenUsed/>
    <w:qFormat/>
    <w:uiPriority w:val="0"/>
    <w:pPr>
      <w:spacing w:before="120" w:beforeLines="0" w:after="120" w:afterLines="0" w:line="288" w:lineRule="auto"/>
    </w:pPr>
    <w:rPr>
      <w:rFonts w:hint="default"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7d8d893c-d157-46fe-9861-1245fd77e73d</errorID>
      <errorWord xmlns="http://schemas.wps.cn/vas-ai-hub/contract-review">第1条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第一条</item>
      </candidateList>
      <explain xmlns="http://schemas.wps.cn/vas-ai-hub/contract-review">法律条目书写应使用汉字数字，不使用阿拉伯数字。</explain>
      <paraID xmlns="http://schemas.wps.cn/vas-ai-hub/contract-review">75E8FEE6</paraID>
      <start xmlns="http://schemas.wps.cn/vas-ai-hub/contract-review">25</start>
      <end xmlns="http://schemas.wps.cn/vas-ai-hub/contract-review">28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f24adbbc-3d18-4d5d-aa52-cce14eb632b2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75C5DA09</paraID>
      <start xmlns="http://schemas.wps.cn/vas-ai-hub/contract-review">38</start>
      <end xmlns="http://schemas.wps.cn/vas-ai-hub/contract-review">39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1ccaaead-fe7a-4bca-8a38-6516e4b0a4d0</errorID>
      <errorWord xmlns="http://schemas.wps.cn/vas-ai-hub/contract-review"/>
      <group xmlns="http://schemas.wps.cn/vas-ai-hub/contract-review">L1_Format</group>
      <groupName xmlns="http://schemas.wps.cn/vas-ai-hub/contract-review">格式问题</groupName>
      <ability xmlns="http://schemas.wps.cn/vas-ai-hub/contract-review">L2_Whitespace</ability>
      <abilityName xmlns="http://schemas.wps.cn/vas-ai-hub/contract-review">空白字符</abilityName>
      <candidateList xmlns="http://schemas.wps.cn/vas-ai-hub/contract-review">
        <item xmlns="http://schemas.wps.cn/vas-ai-hub/contract-review"/>
      </candidateList>
      <explain xmlns="http://schemas.wps.cn/vas-ai-hub/contract-review">文本间存在多余的空白字符。</explain>
      <paraID xmlns="http://schemas.wps.cn/vas-ai-hub/contract-review">5FFF6122</paraID>
      <start xmlns="http://schemas.wps.cn/vas-ai-hub/contract-review">17</start>
      <end xmlns="http://schemas.wps.cn/vas-ai-hub/contract-review">33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db20c5ec-fbf7-4717-bf48-133423107314</errorID>
      <errorWord xmlns="http://schemas.wps.cn/vas-ai-hub/contract-review"/>
      <group xmlns="http://schemas.wps.cn/vas-ai-hub/contract-review">L1_Format</group>
      <groupName xmlns="http://schemas.wps.cn/vas-ai-hub/contract-review">格式问题</groupName>
      <ability xmlns="http://schemas.wps.cn/vas-ai-hub/contract-review">L2_Whitespace</ability>
      <abilityName xmlns="http://schemas.wps.cn/vas-ai-hub/contract-review">空白字符</abilityName>
      <candidateList xmlns="http://schemas.wps.cn/vas-ai-hub/contract-review">
        <item xmlns="http://schemas.wps.cn/vas-ai-hub/contract-review"/>
      </candidateList>
      <explain xmlns="http://schemas.wps.cn/vas-ai-hub/contract-review">文本间存在多余的空白字符。</explain>
      <paraID xmlns="http://schemas.wps.cn/vas-ai-hub/contract-review">4EA4BBCC</paraID>
      <start xmlns="http://schemas.wps.cn/vas-ai-hub/contract-review">5</start>
      <end xmlns="http://schemas.wps.cn/vas-ai-hub/contract-review">37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3d5124-a380-40ad-8b1a-6dbc04a691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2026-07-23T11:17:00Z</dcterms:created>
  <dc:creator>周紫荆</dc:creator>
  <cp:lastModifiedBy>uos</cp:lastModifiedBy>
  <dcterms:modified xsi:type="dcterms:W3CDTF">2026-07-24T12:51:21Z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7DA500EDB9AB45ED9E4DDF52526819CE_11</vt:lpwstr>
  </property>
  <property fmtid="{D5CDD505-2E9C-101B-9397-08002B2CF9AE}" pid="4" name="KSOTemplateDocerSaveRecord">
    <vt:lpwstr>eyJoZGlkIjoiZmQ0NTA5MWFlYmM2NWQyOTJkODExOGRiYWUxNTRmYjUiLCJ1c2VySWQiOiI5NTM3MzMxODYifQ==</vt:lpwstr>
  </property>
</Properties>
</file>