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江岸区20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年国民经济和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440" w:firstLineChars="200"/>
        <w:jc w:val="both"/>
        <w:textAlignment w:val="auto"/>
        <w:rPr>
          <w:rFonts w:hint="eastAsia"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，面对国内外风险挑战增多的复杂局面，全区上下认真贯彻落实区委、区政府决策部署，科学统筹疫情防控和经济社会发展，有效应对疫情等多重考验，积极做好“六稳”工作，全面落实“六保”任务，全区经济运行延续恢复态势，发展质量逐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一、综合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eastAsia="仿宋_GB2312"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全年完成地区生产总值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1470.27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13.6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%。其中，第二产业增加值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257.09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增长16.5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%；第三产业增加值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1213.18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亿元，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增长13.1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%。第二产业增加值占地区生产总值的比重为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17.5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%；第三产业增加值比重为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82.5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全区年末常住人口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105.10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万人，比上年增加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8.57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万人。</w:t>
      </w:r>
      <w:r>
        <w:rPr>
          <w:rFonts w:hint="eastAsia" w:ascii="仿宋_GB2312" w:eastAsia="仿宋_GB2312"/>
          <w:color w:val="auto"/>
          <w:sz w:val="32"/>
          <w:szCs w:val="32"/>
        </w:rPr>
        <w:t>户籍人口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81.28</w:t>
      </w:r>
      <w:r>
        <w:rPr>
          <w:rFonts w:hint="eastAsia" w:ascii="仿宋_GB2312" w:eastAsia="仿宋_GB2312"/>
          <w:color w:val="auto"/>
          <w:sz w:val="32"/>
          <w:szCs w:val="32"/>
        </w:rPr>
        <w:t>万人，比上年增加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color w:val="auto"/>
          <w:sz w:val="32"/>
          <w:szCs w:val="32"/>
        </w:rPr>
        <w:t>万人。全年出生人口0.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auto"/>
          <w:sz w:val="32"/>
          <w:szCs w:val="32"/>
        </w:rPr>
        <w:t>万人，出生率为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7.47</w:t>
      </w:r>
      <w:r>
        <w:rPr>
          <w:rFonts w:hint="eastAsia" w:ascii="仿宋_GB2312" w:eastAsia="仿宋_GB2312"/>
          <w:color w:val="auto"/>
          <w:sz w:val="32"/>
          <w:szCs w:val="32"/>
        </w:rPr>
        <w:t>‰；死亡人口0.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color w:val="auto"/>
          <w:sz w:val="32"/>
          <w:szCs w:val="32"/>
        </w:rPr>
        <w:t>万人，死亡率为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6.96</w:t>
      </w:r>
      <w:r>
        <w:rPr>
          <w:rFonts w:hint="eastAsia" w:ascii="仿宋_GB2312" w:eastAsia="仿宋_GB2312"/>
          <w:color w:val="auto"/>
          <w:sz w:val="32"/>
          <w:szCs w:val="32"/>
        </w:rPr>
        <w:t>‰；自然增长率为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0.51</w:t>
      </w:r>
      <w:r>
        <w:rPr>
          <w:rFonts w:hint="eastAsia" w:ascii="仿宋_GB2312" w:eastAsia="仿宋_GB2312"/>
          <w:color w:val="auto"/>
          <w:sz w:val="32"/>
          <w:szCs w:val="32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全年完成一般公共预算总收入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182.39</w:t>
      </w:r>
      <w:r>
        <w:rPr>
          <w:rFonts w:hint="eastAsia" w:ascii="仿宋_GB2312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32.8</w:t>
      </w:r>
      <w:r>
        <w:rPr>
          <w:rFonts w:hint="eastAsia" w:ascii="仿宋_GB2312" w:eastAsia="仿宋_GB2312"/>
          <w:color w:val="auto"/>
          <w:sz w:val="32"/>
          <w:szCs w:val="32"/>
        </w:rPr>
        <w:t>%，地方一般公共预算收入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106.61亿</w:t>
      </w:r>
      <w:r>
        <w:rPr>
          <w:rFonts w:hint="eastAsia" w:ascii="仿宋_GB2312" w:eastAsia="仿宋_GB2312"/>
          <w:color w:val="auto"/>
          <w:sz w:val="32"/>
          <w:szCs w:val="32"/>
        </w:rPr>
        <w:t>元，比上年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31.1%</w:t>
      </w:r>
      <w:r>
        <w:rPr>
          <w:rFonts w:hint="eastAsia" w:ascii="仿宋_GB2312" w:eastAsia="仿宋_GB2312"/>
          <w:color w:val="auto"/>
          <w:sz w:val="32"/>
          <w:szCs w:val="32"/>
        </w:rPr>
        <w:t>。财政一般预算支出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101.81</w:t>
      </w:r>
      <w:r>
        <w:rPr>
          <w:rFonts w:hint="eastAsia" w:ascii="仿宋_GB2312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增长0.1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全区期末实有市场主体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13.26</w:t>
      </w:r>
      <w:r>
        <w:rPr>
          <w:rFonts w:hint="eastAsia" w:ascii="仿宋_GB2312" w:eastAsia="仿宋_GB2312"/>
          <w:color w:val="auto"/>
          <w:sz w:val="32"/>
          <w:szCs w:val="32"/>
        </w:rPr>
        <w:t>万户，比上年增长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8.1</w:t>
      </w:r>
      <w:r>
        <w:rPr>
          <w:rFonts w:hint="eastAsia" w:ascii="仿宋_GB2312" w:eastAsia="仿宋_GB2312"/>
          <w:color w:val="auto"/>
          <w:sz w:val="32"/>
          <w:szCs w:val="32"/>
        </w:rPr>
        <w:t>%。其中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私营企业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5.26</w:t>
      </w:r>
      <w:r>
        <w:rPr>
          <w:rFonts w:hint="eastAsia" w:ascii="仿宋_GB2312" w:eastAsia="仿宋_GB2312"/>
          <w:color w:val="auto"/>
          <w:sz w:val="32"/>
          <w:szCs w:val="32"/>
        </w:rPr>
        <w:t>万户，个体工商户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7.80</w:t>
      </w:r>
      <w:r>
        <w:rPr>
          <w:rFonts w:hint="eastAsia" w:ascii="仿宋_GB2312" w:eastAsia="仿宋_GB2312"/>
          <w:color w:val="auto"/>
          <w:sz w:val="32"/>
          <w:szCs w:val="32"/>
        </w:rPr>
        <w:t>万户。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全区共有“四上”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及房地产</w:t>
      </w:r>
      <w:r>
        <w:rPr>
          <w:rFonts w:hint="eastAsia" w:ascii="仿宋_GB2312" w:eastAsia="仿宋_GB2312"/>
          <w:color w:val="auto"/>
          <w:sz w:val="32"/>
          <w:szCs w:val="32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846</w:t>
      </w:r>
      <w:r>
        <w:rPr>
          <w:rFonts w:hint="eastAsia" w:ascii="仿宋_GB2312" w:eastAsia="仿宋_GB2312"/>
          <w:color w:val="auto"/>
          <w:sz w:val="32"/>
          <w:szCs w:val="32"/>
        </w:rPr>
        <w:t>户，其中：规模以上工业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资质建筑业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96</w:t>
      </w:r>
      <w:r>
        <w:rPr>
          <w:rFonts w:hint="eastAsia" w:ascii="仿宋_GB2312" w:eastAsia="仿宋_GB2312"/>
          <w:color w:val="auto"/>
          <w:sz w:val="32"/>
          <w:szCs w:val="32"/>
        </w:rPr>
        <w:t>户，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限额以上</w:t>
      </w:r>
      <w:r>
        <w:rPr>
          <w:rFonts w:hint="eastAsia" w:ascii="仿宋_GB2312" w:eastAsia="仿宋_GB2312"/>
          <w:color w:val="auto"/>
          <w:sz w:val="32"/>
          <w:szCs w:val="32"/>
        </w:rPr>
        <w:t>批发零售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住宿餐饮业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269</w:t>
      </w:r>
      <w:r>
        <w:rPr>
          <w:rFonts w:hint="eastAsia" w:ascii="仿宋_GB2312" w:eastAsia="仿宋_GB2312"/>
          <w:color w:val="auto"/>
          <w:sz w:val="32"/>
          <w:szCs w:val="32"/>
        </w:rPr>
        <w:t>户，规模以上服务业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322</w:t>
      </w:r>
      <w:r>
        <w:rPr>
          <w:rFonts w:hint="eastAsia" w:ascii="仿宋_GB2312" w:eastAsia="仿宋_GB2312"/>
          <w:color w:val="auto"/>
          <w:sz w:val="32"/>
          <w:szCs w:val="32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，房地产开发经营业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136</w:t>
      </w:r>
      <w:r>
        <w:rPr>
          <w:rFonts w:hint="eastAsia" w:ascii="仿宋_GB2312" w:eastAsia="仿宋_GB2312"/>
          <w:color w:val="auto"/>
          <w:sz w:val="32"/>
          <w:szCs w:val="32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二、工业和建筑业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年，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全区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规模以上工业增加值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87.03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亿元，比上年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增长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。其中，规上制造业增加值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5.45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22.1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%；电力、热力、燃气及水生产和供应业增加值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81.58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亿元，</w:t>
      </w:r>
      <w:r>
        <w:rPr>
          <w:rFonts w:hint="eastAsia" w:ascii="仿宋_GB2312" w:eastAsia="仿宋_GB2312"/>
          <w:color w:val="auto"/>
          <w:sz w:val="32"/>
        </w:rPr>
        <w:t>增长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25.1</w:t>
      </w:r>
      <w:r>
        <w:rPr>
          <w:rFonts w:hint="eastAsia" w:ascii="仿宋_GB2312" w:eastAsia="仿宋_GB2312"/>
          <w:color w:val="auto"/>
          <w:sz w:val="32"/>
        </w:rPr>
        <w:t>%。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全区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规模以上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工业总产值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359.05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亿元，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比上年</w:t>
      </w:r>
      <w:r>
        <w:rPr>
          <w:rFonts w:hint="eastAsia" w:ascii="仿宋_GB2312" w:eastAsia="仿宋_GB2312"/>
          <w:color w:val="auto"/>
          <w:sz w:val="32"/>
          <w:szCs w:val="32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25.4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。其中，仪器仪表制造业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增长42.6%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，非金属矿物制品业增长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25.6%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，电力、热力生产和供应业增长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25.5</w:t>
      </w:r>
      <w:r>
        <w:rPr>
          <w:rFonts w:hint="eastAsia" w:ascii="仿宋_GB2312" w:eastAsia="仿宋_GB2312"/>
          <w:color w:val="auto"/>
          <w:sz w:val="32"/>
        </w:rPr>
        <w:t>%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/>
        </w:rPr>
        <w:t>金属制品业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增长23.0%。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/>
        </w:rPr>
        <w:t>全区规上高新制造业企业10户，完成产值15.31亿元，比上年增长17.4%。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具有资质等级的总承包和专业承包建筑业企业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98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户，实现建筑业总产值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852.98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亿元，比上年增长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19.9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三、固定资产投资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年，全社会固定资产投资比上年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%。按产业分，第二产业投资比上年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%；第三产业投资比上年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500万元以上城镇投资项目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个，完成投资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val="en-US" w:eastAsia="zh-CN"/>
        </w:rPr>
        <w:t>141.89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val="en-US" w:eastAsia="zh-CN"/>
        </w:rPr>
        <w:t>占全区固定资产投资比重为33.8%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val="en-US" w:eastAsia="zh-CN"/>
        </w:rPr>
        <w:t>房地产开发投资项目90个，完成投资277.84亿元，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highlight w:val="white"/>
          <w:lang w:val="en-US" w:eastAsia="zh-CN"/>
        </w:rPr>
        <w:t>增长15.8%，占全区固定资产投资比重为66.2%。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四、市场消费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年，全区社会消费品零售总额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536.16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限上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批发业完成销售额893.83亿元，比上年增长46.9%；限上零售业完成销售额149.14亿元，比上年增长7.6%；限上住宿业完成营业额4.02亿元，比上年增长39.4%；限上餐饮业完成营业额48.81亿元，比上年增长28.5%。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五、对外经济和招商引资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</w:rPr>
        <w:t>年，全区招商引资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实际到位资金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751.30</w:t>
      </w:r>
      <w:r>
        <w:rPr>
          <w:rFonts w:hint="eastAsia" w:ascii="仿宋_GB2312" w:eastAsia="仿宋_GB2312"/>
          <w:color w:val="auto"/>
          <w:sz w:val="32"/>
          <w:szCs w:val="32"/>
        </w:rPr>
        <w:t>亿元，比上年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6.2</w:t>
      </w:r>
      <w:r>
        <w:rPr>
          <w:rFonts w:hint="eastAsia" w:ascii="仿宋_GB2312" w:eastAsia="仿宋_GB2312"/>
          <w:color w:val="auto"/>
          <w:sz w:val="32"/>
          <w:szCs w:val="32"/>
        </w:rPr>
        <w:t>%。实际利用外资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47322</w:t>
      </w:r>
      <w:r>
        <w:rPr>
          <w:rFonts w:hint="eastAsia" w:ascii="仿宋_GB2312" w:eastAsia="仿宋_GB2312"/>
          <w:color w:val="auto"/>
          <w:sz w:val="32"/>
          <w:szCs w:val="32"/>
        </w:rPr>
        <w:t>万美元，比上年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16.5</w:t>
      </w:r>
      <w:r>
        <w:rPr>
          <w:rFonts w:hint="eastAsia" w:ascii="仿宋_GB2312" w:eastAsia="仿宋_GB2312"/>
          <w:color w:val="auto"/>
          <w:sz w:val="32"/>
          <w:szCs w:val="32"/>
        </w:rPr>
        <w:t>%。外贸出口创汇额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122700</w:t>
      </w:r>
      <w:r>
        <w:rPr>
          <w:rFonts w:hint="eastAsia" w:ascii="仿宋_GB2312" w:eastAsia="仿宋_GB2312"/>
          <w:color w:val="auto"/>
          <w:sz w:val="32"/>
          <w:szCs w:val="32"/>
        </w:rPr>
        <w:t>万美元，比上年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增长22.2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六、城市建设和环境保护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年，全区进行背街小巷道路改造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14个社区，改造面积70970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万元；新、改、扩建市政道路、排水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9条，面积48650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平方米，投入资金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28122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全年环境空气细颗粒物（PM2.5）和可吸入颗粒物（PM10）年均浓度值分别为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微克/立方米。全年植树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万株，新增绿地面积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万平方米，人均公园绿地面积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平方米/人，绿地率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%，绿化覆盖率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七、教育和科学技术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年，全区共有幼儿园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所，在园幼儿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27943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人；小学39所，在校学生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63147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人；中学3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36798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3415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人；职业中专5所，在校学生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8511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人；辅读学校1所,在校学生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人，专任教师1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全区教育基本建设资金总投入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18972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万元，新建（在建）中小学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个，扩建中小学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个，新、扩建竣工面积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23149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平方米，新、扩建投入金额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18922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万元；中小学危房改造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平方米，投入金额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年，全区高新技术企业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家，年度专利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量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3685件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，科技企业孵化器国家级2家、省级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家、市级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家，众创空间国家级2家、省级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家、市级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家，企业研发中心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2家、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市级1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八、文化、体育和卫生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年，全区共有文化（站）室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图书馆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2所，网吧70家，电子游戏（艺）室3家，歌舞厅、卡拉OK厅18家。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2021年开展大型群众性体育活动10次，参与人数6万余人，横渡上江人数100人次，社区体育健身路径442套，社区体育健身路径完好率98%，业余体校1所。游泳池39家，健身场馆73家。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年，全区共有医疗卫生机构1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个，床位数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个；各类卫生技术人员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人，其中：执业医师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人、执业助理医师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人、执业护士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人、药剂人员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人、检验人员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人、其他卫计人员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人。全年门诊人数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急诊人数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2.08万人，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入院人数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人，出院人数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九、人民生活和社会保障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年，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人均生活消费支出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46769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元/人年，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增长29.10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％。每百户家庭拥有家用汽车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辆，助力车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辆，洗衣机10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台，电冰箱（柜）10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台，彩色电视机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台，空调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套，热水器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架，移动电话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244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部，计算机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全年城镇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累计新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29869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人，下岗失业人员再就业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6644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人，其中困难群体再就业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3509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就业再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就业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培训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3050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城镇登记失业率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0.03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%。全年民政事业支出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39838.8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万元，全年城市最低保障金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6885.1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万元；享受城市居民最低生活保障户数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4582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户，享受城市居民最低生活保障人数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6068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人，享受困难救济户（临救）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户。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45AC"/>
    <w:rsid w:val="020B5B51"/>
    <w:rsid w:val="04EB5301"/>
    <w:rsid w:val="05BE4981"/>
    <w:rsid w:val="088C597F"/>
    <w:rsid w:val="0AFD00B7"/>
    <w:rsid w:val="0B9030CF"/>
    <w:rsid w:val="0F2716A1"/>
    <w:rsid w:val="0FC15A65"/>
    <w:rsid w:val="1304698B"/>
    <w:rsid w:val="17010989"/>
    <w:rsid w:val="1DE16B97"/>
    <w:rsid w:val="1E057CEE"/>
    <w:rsid w:val="1E167D18"/>
    <w:rsid w:val="2118320D"/>
    <w:rsid w:val="212C1416"/>
    <w:rsid w:val="22926EAC"/>
    <w:rsid w:val="22C4402B"/>
    <w:rsid w:val="238058B2"/>
    <w:rsid w:val="246C061E"/>
    <w:rsid w:val="2585406A"/>
    <w:rsid w:val="26A15EA9"/>
    <w:rsid w:val="27685CD8"/>
    <w:rsid w:val="299A3ADF"/>
    <w:rsid w:val="2B966D53"/>
    <w:rsid w:val="2F8506B3"/>
    <w:rsid w:val="31437C8D"/>
    <w:rsid w:val="32A34275"/>
    <w:rsid w:val="33545D05"/>
    <w:rsid w:val="347059AE"/>
    <w:rsid w:val="366F75EB"/>
    <w:rsid w:val="36DF5F5A"/>
    <w:rsid w:val="37943D29"/>
    <w:rsid w:val="38D610CA"/>
    <w:rsid w:val="3C605B3D"/>
    <w:rsid w:val="3DAB42F6"/>
    <w:rsid w:val="426F6148"/>
    <w:rsid w:val="44392A5C"/>
    <w:rsid w:val="44996BB2"/>
    <w:rsid w:val="45017D0D"/>
    <w:rsid w:val="453A08C9"/>
    <w:rsid w:val="456339A1"/>
    <w:rsid w:val="48E963CE"/>
    <w:rsid w:val="4B0F67D0"/>
    <w:rsid w:val="4C4A2F26"/>
    <w:rsid w:val="4D1D5F02"/>
    <w:rsid w:val="4D7200B9"/>
    <w:rsid w:val="4F79372E"/>
    <w:rsid w:val="54896CBD"/>
    <w:rsid w:val="54EC5EEA"/>
    <w:rsid w:val="5B6344C3"/>
    <w:rsid w:val="5DF63ABB"/>
    <w:rsid w:val="622E46B1"/>
    <w:rsid w:val="62AF19EF"/>
    <w:rsid w:val="644C45AC"/>
    <w:rsid w:val="64B03CE3"/>
    <w:rsid w:val="65411254"/>
    <w:rsid w:val="67244BF6"/>
    <w:rsid w:val="67F9388F"/>
    <w:rsid w:val="68A631A9"/>
    <w:rsid w:val="690706B9"/>
    <w:rsid w:val="69413646"/>
    <w:rsid w:val="69D07415"/>
    <w:rsid w:val="6A0A7A7B"/>
    <w:rsid w:val="6A830CE6"/>
    <w:rsid w:val="6C1B24CE"/>
    <w:rsid w:val="6C7E5047"/>
    <w:rsid w:val="6C875AFF"/>
    <w:rsid w:val="6FA0700C"/>
    <w:rsid w:val="71AD4875"/>
    <w:rsid w:val="72A02FC7"/>
    <w:rsid w:val="737A7741"/>
    <w:rsid w:val="73BC2554"/>
    <w:rsid w:val="76E272F5"/>
    <w:rsid w:val="79337238"/>
    <w:rsid w:val="7E743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6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2020-09-16T07:45:00Z</dcterms:created>
  <dc:creator>JINGFENG</dc:creator>
  <cp:lastModifiedBy>Lenovo</cp:lastModifiedBy>
  <dcterms:modified xsi:type="dcterms:W3CDTF">2022-08-01T01:11:11Z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A42601F69CC647B7BFD240D6C5A2548C</vt:lpwstr>
  </property>
</Properties>
</file>