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江岸区2018年国民经济和社会发展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统计公报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2018年，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全区上下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在区委、区政府的坚强领导下，</w:t>
      </w:r>
      <w:r>
        <w:rPr>
          <w:rFonts w:ascii="仿宋_GB2312" w:hAnsi="仿宋_GB2312" w:eastAsia="仿宋_GB2312" w:cs="仿宋_GB2312"/>
          <w:sz w:val="32"/>
          <w:szCs w:val="32"/>
        </w:rPr>
        <w:t>坚持以习近平新时代中国特色社会主义思想为指导，深入学习贯彻党的十九大和十九届二中、三中全会精神，牢记习近平总书记视察湖北时的殷殷嘱托，坚持稳中求进工作总基调，积极践行新发展理念，攻坚克难，砥砺奋进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全区经济保持稳定增长，各项社会事业稳步发展。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一、综合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全年完成地区生产总值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1259.48</w:t>
      </w:r>
      <w:r>
        <w:rPr>
          <w:rFonts w:hint="eastAsia" w:ascii="仿宋_GB2312" w:hAnsi="宋体" w:eastAsia="仿宋_GB2312" w:cs="仿宋_GB2312"/>
          <w:sz w:val="32"/>
          <w:szCs w:val="32"/>
        </w:rPr>
        <w:t>亿元，比上年增长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8.2</w:t>
      </w:r>
      <w:r>
        <w:rPr>
          <w:rFonts w:hint="eastAsia" w:ascii="仿宋_GB2312" w:hAnsi="宋体" w:eastAsia="仿宋_GB2312" w:cs="仿宋_GB2312"/>
          <w:sz w:val="32"/>
          <w:szCs w:val="32"/>
        </w:rPr>
        <w:t>%。其中，第二产业增加值237.64亿元，增长6.2%；第三产业增加值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1021.72</w:t>
      </w:r>
      <w:r>
        <w:rPr>
          <w:rFonts w:hint="eastAsia" w:ascii="仿宋_GB2312" w:hAnsi="宋体" w:eastAsia="仿宋_GB2312" w:cs="仿宋_GB2312"/>
          <w:sz w:val="32"/>
          <w:szCs w:val="32"/>
        </w:rPr>
        <w:t>亿元，增长8.7%。第二产业增加值占地区生产总值的比重为18.9%；第三产业增加值比重为81.1%，比上年提高了0.7个百分点。第二、第三产业对GDP增长贡献率分别为15.0%和85.1%。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firstLine="0" w:firstLineChars="0"/>
        <w:jc w:val="center"/>
        <w:textAlignment w:val="auto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表</w:t>
      </w:r>
      <w:r>
        <w:rPr>
          <w:rFonts w:ascii="黑体" w:hAnsi="宋体" w:eastAsia="黑体" w:cs="黑体"/>
          <w:sz w:val="24"/>
          <w:szCs w:val="24"/>
        </w:rPr>
        <w:t>1</w:t>
      </w:r>
      <w:r>
        <w:rPr>
          <w:rFonts w:hint="eastAsia" w:ascii="黑体" w:hAnsi="宋体" w:eastAsia="黑体" w:cs="黑体"/>
          <w:sz w:val="24"/>
          <w:szCs w:val="24"/>
        </w:rPr>
        <w:t>：2018年地区生产总值及其增长速度</w:t>
      </w:r>
    </w:p>
    <w:tbl>
      <w:tblPr>
        <w:tblStyle w:val="3"/>
        <w:tblW w:w="6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09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0" w:type="dxa"/>
            <w:tcBorders>
              <w:left w:val="nil"/>
            </w:tcBorders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指标</w:t>
            </w:r>
          </w:p>
        </w:tc>
        <w:tc>
          <w:tcPr>
            <w:tcW w:w="2091" w:type="dxa"/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2018年（亿元）</w:t>
            </w: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比上年增长（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0" w:type="dxa"/>
            <w:tcBorders>
              <w:left w:val="nil"/>
            </w:tcBorders>
            <w:vAlign w:val="top"/>
          </w:tcPr>
          <w:p>
            <w:pPr>
              <w:pStyle w:val="5"/>
              <w:spacing w:line="360" w:lineRule="auto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地区生产总值</w:t>
            </w:r>
          </w:p>
        </w:tc>
        <w:tc>
          <w:tcPr>
            <w:tcW w:w="2091" w:type="dxa"/>
            <w:vAlign w:val="top"/>
          </w:tcPr>
          <w:p>
            <w:pPr>
              <w:pStyle w:val="5"/>
              <w:spacing w:line="360" w:lineRule="auto"/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1259.48</w:t>
            </w: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5"/>
              <w:spacing w:line="360" w:lineRule="auto"/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0" w:type="dxa"/>
            <w:tcBorders>
              <w:left w:val="nil"/>
            </w:tcBorders>
            <w:vAlign w:val="top"/>
          </w:tcPr>
          <w:p>
            <w:pPr>
              <w:pStyle w:val="5"/>
              <w:spacing w:line="36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第一产业</w:t>
            </w:r>
          </w:p>
        </w:tc>
        <w:tc>
          <w:tcPr>
            <w:tcW w:w="2091" w:type="dxa"/>
            <w:vAlign w:val="top"/>
          </w:tcPr>
          <w:p>
            <w:pPr>
              <w:pStyle w:val="5"/>
              <w:spacing w:line="360" w:lineRule="auto"/>
              <w:ind w:firstLine="0" w:firstLineChars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0.12</w:t>
            </w: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5"/>
              <w:spacing w:line="360" w:lineRule="auto"/>
              <w:ind w:firstLine="0" w:firstLineChars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-54.2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0" w:type="dxa"/>
            <w:tcBorders>
              <w:left w:val="nil"/>
            </w:tcBorders>
            <w:vAlign w:val="top"/>
          </w:tcPr>
          <w:p>
            <w:pPr>
              <w:pStyle w:val="5"/>
              <w:spacing w:line="36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第二产业</w:t>
            </w:r>
          </w:p>
        </w:tc>
        <w:tc>
          <w:tcPr>
            <w:tcW w:w="2091" w:type="dxa"/>
            <w:vAlign w:val="top"/>
          </w:tcPr>
          <w:p>
            <w:pPr>
              <w:pStyle w:val="5"/>
              <w:spacing w:line="360" w:lineRule="auto"/>
              <w:ind w:firstLine="0" w:firstLineChars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237.64</w:t>
            </w: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5"/>
              <w:spacing w:line="360" w:lineRule="auto"/>
              <w:ind w:firstLine="0" w:firstLineChars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0" w:type="dxa"/>
            <w:tcBorders>
              <w:left w:val="nil"/>
            </w:tcBorders>
            <w:vAlign w:val="top"/>
          </w:tcPr>
          <w:p>
            <w:pPr>
              <w:pStyle w:val="5"/>
              <w:spacing w:line="360" w:lineRule="auto"/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第三产业</w:t>
            </w:r>
          </w:p>
        </w:tc>
        <w:tc>
          <w:tcPr>
            <w:tcW w:w="2091" w:type="dxa"/>
            <w:vAlign w:val="top"/>
          </w:tcPr>
          <w:p>
            <w:pPr>
              <w:pStyle w:val="5"/>
              <w:spacing w:line="360" w:lineRule="auto"/>
              <w:ind w:firstLine="0" w:firstLineChars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1021.72</w:t>
            </w:r>
          </w:p>
        </w:tc>
        <w:tc>
          <w:tcPr>
            <w:tcW w:w="1985" w:type="dxa"/>
            <w:tcBorders>
              <w:right w:val="nil"/>
            </w:tcBorders>
            <w:vAlign w:val="top"/>
          </w:tcPr>
          <w:p>
            <w:pPr>
              <w:pStyle w:val="5"/>
              <w:spacing w:line="360" w:lineRule="auto"/>
              <w:ind w:firstLine="0" w:firstLineChars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8.7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图1:2013—2018年地区生产总值及其增长速度</w:t>
      </w:r>
    </w:p>
    <w:p>
      <w:pPr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          单位：</w:t>
      </w:r>
      <w:r>
        <w:rPr>
          <w:rFonts w:hint="eastAsia" w:ascii="仿宋_GB2312" w:hAnsi="仿宋_GB2312" w:eastAsia="仿宋_GB2312" w:cs="仿宋_GB2312"/>
          <w:lang w:eastAsia="zh-CN"/>
        </w:rPr>
        <w:t>亿元、</w:t>
      </w:r>
      <w:r>
        <w:rPr>
          <w:rFonts w:hint="eastAsia" w:ascii="仿宋_GB2312" w:hAnsi="仿宋_GB2312" w:eastAsia="仿宋_GB2312" w:cs="仿宋_GB2312"/>
        </w:rPr>
        <w:t>%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4572000" cy="2555875"/>
            <wp:effectExtent l="4445" t="4445" r="14605" b="1143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图2:2013—2018年二、三产业增加值占地区生产总值比重</w:t>
      </w:r>
    </w:p>
    <w:p>
      <w:pPr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</w:rPr>
        <w:t>单位：%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4572000" cy="2555875"/>
            <wp:effectExtent l="4445" t="4445" r="14605" b="1143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2018年，全区年末常住人口96.27万人，比上年增加0.03万人。户籍人口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万人。全年出生人口0.85万人，出生率为11.4‰；死亡人口0.54万人，死亡率为7.28‰；自然增长率为4.12‰。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公共预算总收入178.99亿元，比上年下降4.6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，地方一般公共预算收入107.03亿元，增长9.0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。财政一般预算支出94.54亿元，比上年增长19.3%。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全区期末实有市场主体10.61万户，比上年增长5.8%。其中，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实有私营企业4.17万户，个体工商户6.08万户。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全区共有“四上”企业835户，其中：规模以上工业企业24户，资质以上建筑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企业120户，资质以上房地产企业118户，限额以上批发零售住宿餐饮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业企</w:t>
      </w:r>
      <w:r>
        <w:rPr>
          <w:rFonts w:hint="eastAsia" w:ascii="仿宋_GB2312" w:hAnsi="仿宋_GB2312" w:eastAsia="仿宋_GB2312" w:cs="仿宋_GB2312"/>
          <w:sz w:val="32"/>
          <w:szCs w:val="32"/>
        </w:rPr>
        <w:t>业263户，规模以上服务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310户。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2018年，全区规模以上工业企业24户，累计实现增加值97.06亿元，比上年增长9%，高去年同期增速2.5个百分点,高全市增速3.3个百分点；累计完成工业总产值339.9亿元，比上年增长8.2%，低去年同期增速0.4个百分点。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jc w:val="center"/>
        <w:textAlignment w:val="auto"/>
        <w:rPr>
          <w:rFonts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24"/>
        </w:rPr>
        <w:t>图3：2018年规上工业产值、增加值速度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</w:rPr>
        <w:t>单位：%</w:t>
      </w:r>
    </w:p>
    <w:p>
      <w:pPr>
        <w:spacing w:line="360" w:lineRule="auto"/>
        <w:ind w:firstLine="315" w:firstLineChars="150"/>
        <w:jc w:val="center"/>
      </w:pPr>
      <w:r>
        <w:drawing>
          <wp:inline distT="0" distB="0" distL="114300" distR="114300">
            <wp:extent cx="4572000" cy="2555875"/>
            <wp:effectExtent l="9525" t="9525" r="9525" b="2540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5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规模以上工业企业中产值过亿的企业9户。全区15个规上工业行业中有10个行业产值超亿元，分别是：印刷和记录媒介复制业、文教、工美、体育和娱乐用品制造业、医药制造业、非金属矿物制品业、有色金属冶炼和压延加工业、金属制品业、通用设备制造业、汽车制造业、电气机械和器材制造业、电力热力生产和供应业。其中有色金属冶炼和压延加工业、医药制造业、仪器仪表制造业、印刷和记录媒介复制业等四个行业比上年度增长超过30%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具有资质等级的总承包和专业承包建筑业企业120户，全年实现建筑业增加值112.08亿元，比上年增长12.0%。建筑业总产值633.17亿元，比上年增长11.9%。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全区国有及国有控股企业完成建筑业总产值529.23亿元，比上年增长8.5%；集体控股企业完成建筑业总产值49.98亿元，增长14.3%；民营企业完成建筑业总产值52.51亿元，增长60.8%；港澳台外商企业完成建筑业总产值1.45亿元，下降18.9%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全年我区建筑业企业在外省完成产值463.86亿元，占总产值的70.6%，比上年下降3.7%。我区建筑业企业承接工程遍布全国29个省（自治区、直辖市），其中以广东、福建、江苏居多，建筑业产值均超过40亿元。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三、固定资产投资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r>
        <w:rPr>
          <w:rFonts w:hint="eastAsia" w:ascii="仿宋_GB2312" w:hAnsi="宋体" w:eastAsia="仿宋_GB2312" w:cs="仿宋_GB2312"/>
          <w:sz w:val="32"/>
          <w:szCs w:val="32"/>
        </w:rPr>
        <w:t>全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仿宋_GB2312"/>
          <w:sz w:val="32"/>
          <w:szCs w:val="32"/>
        </w:rPr>
        <w:t>全社会固定资产投资（不含农户）比上年增长8.5%。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/>
        <w:ind w:firstLine="0" w:firstLineChars="0"/>
        <w:jc w:val="center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图4：2013—2018年全社会固定资产投资完成额增幅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单位：%</w:t>
      </w:r>
    </w:p>
    <w:p>
      <w:pPr>
        <w:spacing w:line="360" w:lineRule="auto"/>
        <w:ind w:firstLine="420" w:firstLineChars="200"/>
        <w:jc w:val="center"/>
        <w:rPr>
          <w:rFonts w:ascii="仿宋_GB2312" w:hAnsi="宋体" w:eastAsia="仿宋_GB2312" w:cs="仿宋_GB2312"/>
          <w:sz w:val="32"/>
          <w:szCs w:val="32"/>
        </w:rPr>
      </w:pPr>
      <w:r>
        <w:drawing>
          <wp:inline distT="0" distB="0" distL="114300" distR="114300">
            <wp:extent cx="4572000" cy="2555875"/>
            <wp:effectExtent l="4445" t="4445" r="14605" b="11430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房地产开发投资325.80亿元，比上年下降1.1%。其中，住宅开发投资203.09亿元，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增长33.8%；商业营业用房投资73.17亿元，增长48.1%。全年新建商品房销售面积314.92万平方米，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增长9.0%。商品房销售额503.87亿元，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增长增长47.7%。商品房待售面积48.82万平方米，比上年下降6.6%。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/>
        <w:jc w:val="center"/>
        <w:textAlignment w:val="auto"/>
        <w:rPr>
          <w:rFonts w:ascii="黑体" w:hAnsi="宋体" w:eastAsia="黑体"/>
          <w:color w:val="auto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auto"/>
          <w:sz w:val="24"/>
          <w:szCs w:val="24"/>
          <w:shd w:val="clear" w:color="auto" w:fill="FFFFFF"/>
        </w:rPr>
        <w:t>表2：2018年房地产开发和销售主要指标及其增长速度</w:t>
      </w:r>
    </w:p>
    <w:tbl>
      <w:tblPr>
        <w:tblStyle w:val="3"/>
        <w:tblW w:w="70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600"/>
        <w:gridCol w:w="1701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指标</w:t>
            </w:r>
          </w:p>
        </w:tc>
        <w:tc>
          <w:tcPr>
            <w:tcW w:w="1600" w:type="dxa"/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单位</w:t>
            </w:r>
          </w:p>
        </w:tc>
        <w:tc>
          <w:tcPr>
            <w:tcW w:w="1701" w:type="dxa"/>
          </w:tcPr>
          <w:p>
            <w:pPr>
              <w:rPr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2018年</w:t>
            </w:r>
          </w:p>
        </w:tc>
        <w:tc>
          <w:tcPr>
            <w:tcW w:w="1778" w:type="dxa"/>
            <w:tcBorders>
              <w:right w:val="nil"/>
            </w:tcBorders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比上年增长（</w:t>
            </w:r>
            <w:r>
              <w:rPr>
                <w:rFonts w:ascii="Calibri" w:hAnsi="Calibri" w:cs="Calibri"/>
                <w:color w:val="auto"/>
              </w:rPr>
              <w:t>%</w:t>
            </w:r>
            <w:r>
              <w:rPr>
                <w:rFonts w:hint="eastAsia" w:ascii="Calibri" w:hAnsi="Calibri" w:cs="宋体"/>
                <w:color w:va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房地产开发投资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亿元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325.80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ind w:firstLine="420" w:firstLineChars="200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其中：住宅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亿元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203.09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33.8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房屋施工面积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万平方米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1124.84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-9.5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ind w:firstLine="420" w:firstLineChars="200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其中：住宅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万平方米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719.22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-12.9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房屋新开工面积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万平方米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180.96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-23.6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ind w:firstLine="420" w:firstLineChars="200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其中：住宅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万平方米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103.65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-32.6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房屋竣工面积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万平方米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73.25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-55.0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ind w:firstLine="420" w:firstLineChars="200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其中：住宅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万平方米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49.78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-58.0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商品房销售面积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万平方米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314.92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ind w:firstLine="420" w:firstLineChars="200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其中：住宅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万平方米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240.02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-5.8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商品房销售额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亿元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503.87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ind w:firstLine="420" w:firstLineChars="200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其中：住宅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亿元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369.41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tcBorders>
              <w:left w:val="nil"/>
            </w:tcBorders>
          </w:tcPr>
          <w:p>
            <w:pPr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商品房待售面积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万平方米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48.82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color w:val="auto"/>
              </w:rPr>
            </w:pPr>
            <w:r>
              <w:rPr>
                <w:rFonts w:hint="eastAsia" w:ascii="Calibri" w:hAnsi="Calibri" w:cs="宋体"/>
                <w:color w:val="auto"/>
              </w:rPr>
              <w:t>-6.6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四、国内贸易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社会消费品零售总额719.75亿元，比上年增长10.0%。其中，限额以上企业完成社零额269.72亿元，增长4.0%；限额以下企业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社零额450.03亿元，增长24.6%。</w:t>
      </w:r>
    </w:p>
    <w:p>
      <w:pPr>
        <w:pStyle w:val="5"/>
        <w:spacing w:line="580" w:lineRule="exact"/>
        <w:ind w:firstLine="640" w:firstLineChars="0"/>
        <w:jc w:val="center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图5：2013</w:t>
      </w:r>
      <w:r>
        <w:rPr>
          <w:rFonts w:ascii="黑体" w:hAnsi="宋体" w:eastAsia="黑体" w:cs="黑体"/>
          <w:sz w:val="24"/>
          <w:szCs w:val="24"/>
        </w:rPr>
        <w:t>-</w:t>
      </w:r>
      <w:r>
        <w:rPr>
          <w:rFonts w:hint="eastAsia" w:ascii="黑体" w:hAnsi="宋体" w:eastAsia="黑体" w:cs="黑体"/>
          <w:sz w:val="24"/>
          <w:szCs w:val="24"/>
        </w:rPr>
        <w:t>2018年社会消费品零售总额及其增长速度</w:t>
      </w:r>
    </w:p>
    <w:p>
      <w:pPr>
        <w:jc w:val="center"/>
      </w:pPr>
      <w:r>
        <w:drawing>
          <wp:inline distT="0" distB="0" distL="114300" distR="114300">
            <wp:extent cx="4572000" cy="2555875"/>
            <wp:effectExtent l="4445" t="4445" r="14605" b="11430"/>
            <wp:docPr id="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限上批发和零售业企业实现社零额227.03亿元，比上年增长3.0%；限上住宿和餐饮业实现社零额42.69亿元，比上年增长10.2%。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在限额以上企业商品零售额中，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增长较快的是化妆品类增长137.3%、通讯器材类增长111.9%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金银珠宝类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78.2%。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降幅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较大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是饮料类下降78.5%、家具类下降63.9%、中西药品类下降60.7%。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五、对外经济和招商引资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年，全区招商引资总额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.0%。实际利用外资63668万美元，比上年增长17.1%。外贸出口创汇额114029万美元，比上年下降5.1%。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六、城市建设和环境保护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进行背街小巷道路改造56483平方米，投入资金1369.56万元；新、改、扩建市政道路、排水189008.11平方米，投入资金78267.68万元。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新建公厕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8座，维修（改造）公厕40座。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全年环境空气细颗粒物（PM2.5）和可吸入颗粒物（PM10）年均浓度值分别为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微克/立方米和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微克/立方米，比上年下降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%。全年植树1.77万株，新增绿地面积27.23万平方米，人均公园绿地面积9.86平方米/人，绿地率40.55%，绿化覆盖率44.95%。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七、教育和科学技术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全区共有幼儿园103所，在园幼儿24006人，专任教师1887人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小学39所，在校学生53296人，专任教师2979人；中学31所，在校学生31838人，专任教师2933人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职业中专5所，在校学生8094人，专任教师590人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辅读学校1所,在校学生111人，专任教师14人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非学历教育机构85所，在校学生23045人，专任教师694人。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全区教育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基本建设资金总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投入53386.48万元，新建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（在建）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中小学4个，扩建中小学2个，新、扩建竣工面积77670万平方米，新、扩建投入金额53174万元；中小学危房改造550平方米，投入金额212.48万元。​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高新技术企业153家，比上年增长39.1%。其中，“四上”高新技术企业（含高新产品登记备案企业）40户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实现高新技术产值242.33亿元，比上年增长21.4%。年度专利申请量2504个，科技企业孵化器国家级2家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省级2家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市级1家，众创空间国家级2家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省级6家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市级1家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企业研发中心12家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，省级以上重点实验室、工程技术研发中心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八、文化、体育和卫生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共有电影院（商业）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文化（站）室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，建立社区体育健身路径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500套；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开展大型群众性体育活动14次，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参与人数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30000人次，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横渡长江参与人数4500人次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获市级体育竞赛前三名奖牌数194枚，省级体育竞赛前三名奖牌数95枚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全区共有医疗卫生机构10个，床位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个；各类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执业医师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人、执业助理医师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人、执业护士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人、药剂人员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人、检验人员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人、其他卫计人员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。全年门诊人数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万人，上门服务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537人次，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入院人数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万人，出院人数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2.02万人。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九、人民生活和社会保障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2018年，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消费支出37856元/人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，增长8.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％。每百户家庭拥有家用汽车42辆，助力车25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，洗衣机101台，电冰箱（柜）102台，彩色电视机128台，空调218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，热水器104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，移动电话180部，计算机77台。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firstLine="0" w:firstLineChars="0"/>
        <w:jc w:val="center"/>
        <w:textAlignment w:val="auto"/>
        <w:rPr>
          <w:rFonts w:hint="eastAsia" w:ascii="黑体" w:hAnsi="宋体" w:eastAsia="黑体" w:cs="黑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240" w:lineRule="auto"/>
        <w:ind w:firstLine="0" w:firstLineChars="0"/>
        <w:jc w:val="center"/>
        <w:textAlignment w:val="auto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图6：</w:t>
      </w:r>
      <w:r>
        <w:rPr>
          <w:rFonts w:hint="eastAsia" w:ascii="黑体" w:hAnsi="宋体" w:eastAsia="黑体" w:cs="黑体"/>
          <w:sz w:val="24"/>
          <w:szCs w:val="24"/>
          <w:lang w:eastAsia="zh-CN"/>
        </w:rPr>
        <w:t>2013</w:t>
      </w:r>
      <w:r>
        <w:rPr>
          <w:rFonts w:hint="eastAsia" w:ascii="黑体" w:hAnsi="宋体" w:eastAsia="黑体" w:cs="黑体"/>
          <w:sz w:val="24"/>
          <w:szCs w:val="24"/>
        </w:rPr>
        <w:t>-</w:t>
      </w:r>
      <w:r>
        <w:rPr>
          <w:rFonts w:hint="eastAsia" w:ascii="黑体" w:hAnsi="宋体" w:eastAsia="黑体" w:cs="黑体"/>
          <w:sz w:val="24"/>
          <w:szCs w:val="24"/>
          <w:lang w:eastAsia="zh-CN"/>
        </w:rPr>
        <w:t>2018年</w:t>
      </w:r>
      <w:r>
        <w:rPr>
          <w:rFonts w:hint="eastAsia" w:ascii="黑体" w:hAnsi="宋体" w:eastAsia="黑体" w:cs="黑体"/>
          <w:sz w:val="24"/>
          <w:szCs w:val="24"/>
        </w:rPr>
        <w:t>城镇常住居民人均可支配收入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单位：</w:t>
      </w:r>
      <w:r>
        <w:rPr>
          <w:rFonts w:hint="eastAsia" w:ascii="仿宋_GB2312" w:hAnsi="仿宋_GB2312" w:eastAsia="仿宋_GB2312" w:cs="仿宋_GB2312"/>
          <w:lang w:eastAsia="zh-CN"/>
        </w:rPr>
        <w:t>元</w:t>
      </w:r>
    </w:p>
    <w:p>
      <w:pPr>
        <w:spacing w:line="360" w:lineRule="auto"/>
        <w:jc w:val="center"/>
        <w:rPr>
          <w:rFonts w:ascii="仿宋_GB2312" w:hAnsi="宋体" w:eastAsia="仿宋_GB2312" w:cs="仿宋_GB2312"/>
          <w:sz w:val="32"/>
          <w:szCs w:val="32"/>
        </w:rPr>
      </w:pPr>
      <w:r>
        <w:drawing>
          <wp:inline distT="0" distB="0" distL="114300" distR="114300">
            <wp:extent cx="4464050" cy="2555875"/>
            <wp:effectExtent l="4445" t="5080" r="8255" b="1079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全年城镇新增就业26293人，下岗失业人员再就业4057人，其中困难群体再就业2907人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劳动力市场推荐就业成功7722人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就业再培训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4041人；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城镇登记失业率2.99%。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全年民政事业支出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22269.4万元，全年城市最低保障金5742.3万元；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享受城市居民最低生活保障户数4922户，享受城市居民最低生活保障人数6434人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，享受困难救济户（临救）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667户。</w:t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67A7F"/>
    <w:rsid w:val="00042FED"/>
    <w:rsid w:val="001B670B"/>
    <w:rsid w:val="00423BBF"/>
    <w:rsid w:val="0046456A"/>
    <w:rsid w:val="0052512F"/>
    <w:rsid w:val="005918BA"/>
    <w:rsid w:val="006719CE"/>
    <w:rsid w:val="00712546"/>
    <w:rsid w:val="00764683"/>
    <w:rsid w:val="007948DC"/>
    <w:rsid w:val="008E2740"/>
    <w:rsid w:val="009102BD"/>
    <w:rsid w:val="00BC519C"/>
    <w:rsid w:val="00C805F8"/>
    <w:rsid w:val="00D80139"/>
    <w:rsid w:val="05C05314"/>
    <w:rsid w:val="05F67A7F"/>
    <w:rsid w:val="06AA09E0"/>
    <w:rsid w:val="0A5F6393"/>
    <w:rsid w:val="0A8D5BDD"/>
    <w:rsid w:val="15B87DAF"/>
    <w:rsid w:val="17B51DF3"/>
    <w:rsid w:val="19492209"/>
    <w:rsid w:val="1DEF7479"/>
    <w:rsid w:val="237544B8"/>
    <w:rsid w:val="2640208A"/>
    <w:rsid w:val="29A86EE6"/>
    <w:rsid w:val="2AA50082"/>
    <w:rsid w:val="2D9A265E"/>
    <w:rsid w:val="30477E4E"/>
    <w:rsid w:val="310E5DFD"/>
    <w:rsid w:val="31C63C1F"/>
    <w:rsid w:val="320867A5"/>
    <w:rsid w:val="39C678D5"/>
    <w:rsid w:val="3E6334E7"/>
    <w:rsid w:val="3E9F334C"/>
    <w:rsid w:val="3EE43BF5"/>
    <w:rsid w:val="419A3FAE"/>
    <w:rsid w:val="446134BD"/>
    <w:rsid w:val="4DFC3C7E"/>
    <w:rsid w:val="508820AE"/>
    <w:rsid w:val="54EE57E5"/>
    <w:rsid w:val="55054BF8"/>
    <w:rsid w:val="5BB1495E"/>
    <w:rsid w:val="5C590ACF"/>
    <w:rsid w:val="5CD9503E"/>
    <w:rsid w:val="61BE7487"/>
    <w:rsid w:val="624337C3"/>
    <w:rsid w:val="637E7CC8"/>
    <w:rsid w:val="67731E47"/>
    <w:rsid w:val="6991089A"/>
    <w:rsid w:val="6C9A731D"/>
    <w:rsid w:val="6EE10E71"/>
    <w:rsid w:val="732B6449"/>
    <w:rsid w:val="744F0B29"/>
    <w:rsid w:val="75FD7AB2"/>
    <w:rsid w:val="769A5B22"/>
    <w:rsid w:val="79A84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2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&#24037;&#20316;&#31807;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5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&#24037;&#20316;\2019\6&#26376;\&#32463;&#27982;&#26222;&#26597;\2013-2018&#24180;&#31038;&#38646;&#24635;&#39069;&#24635;&#37327;&#21450;&#22686;&#24133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24037;&#20316;&#31807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32777777777778"/>
          <c:y val="0.118981481481481"/>
          <c:w val="0.850388888888889"/>
          <c:h val="0.679027777777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[工作簿2]Sheet1!$B$1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208333333333333"/>
                  <c:y val="0.017361111111111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017361111111111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416666666666667"/>
                  <c:y val="0.017361111111111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algn="ctr"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864.9</a:t>
                    </a:r>
                    <a:r>
                      <a:rPr lang="en-US" altLang="zh-CN"/>
                      <a:t>4</a:t>
                    </a:r>
                    <a:endParaRPr lang="en-US" altLang="zh-CN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 algn="ctr"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861111111111111"/>
                      <c:h val="0.078472222222222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"/>
                  <c:y val="0.024305555555555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361111111111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208333333333333"/>
                  <c:y val="0.02430555555555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[工作簿2]Sheet1!$A$2:$A$7</c:f>
              <c:strCache>
                <c:ptCount val="6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  <c:pt idx="5">
                  <c:v>2018年</c:v>
                </c:pt>
              </c:strCache>
            </c:strRef>
          </c:cat>
          <c:val>
            <c:numRef>
              <c:f>[工作簿2]Sheet1!$B$2:$B$7</c:f>
              <c:numCache>
                <c:formatCode>General</c:formatCode>
                <c:ptCount val="6"/>
                <c:pt idx="0">
                  <c:v>692.61</c:v>
                </c:pt>
                <c:pt idx="1" c:formatCode="0.00_ ">
                  <c:v>762.9</c:v>
                </c:pt>
                <c:pt idx="2">
                  <c:v>864.93</c:v>
                </c:pt>
                <c:pt idx="3">
                  <c:v>960.99</c:v>
                </c:pt>
                <c:pt idx="4" c:formatCode="0.00_ ">
                  <c:v>1073.6</c:v>
                </c:pt>
                <c:pt idx="5">
                  <c:v>1259.48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013949"/>
        <c:axId val="473896409"/>
      </c:barChart>
      <c:lineChart>
        <c:grouping val="standard"/>
        <c:varyColors val="0"/>
        <c:ser>
          <c:idx val="1"/>
          <c:order val="1"/>
          <c:tx>
            <c:strRef>
              <c:f>[工作簿2]Sheet1!$C$1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0.00625"/>
                  <c:y val="-0.02430555555555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[工作簿2]Sheet1!$A$2:$A$7</c:f>
              <c:strCache>
                <c:ptCount val="6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  <c:pt idx="5">
                  <c:v>2018年</c:v>
                </c:pt>
              </c:strCache>
            </c:strRef>
          </c:cat>
          <c:val>
            <c:numRef>
              <c:f>[工作簿2]Sheet1!$C$2:$C$7</c:f>
              <c:numCache>
                <c:formatCode>General</c:formatCode>
                <c:ptCount val="6"/>
                <c:pt idx="0">
                  <c:v>11.1</c:v>
                </c:pt>
                <c:pt idx="1">
                  <c:v>10.3</c:v>
                </c:pt>
                <c:pt idx="2">
                  <c:v>10.1</c:v>
                </c:pt>
                <c:pt idx="3">
                  <c:v>9.1</c:v>
                </c:pt>
                <c:pt idx="4">
                  <c:v>7.6</c:v>
                </c:pt>
                <c:pt idx="5">
                  <c:v>8.2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99778235"/>
        <c:axId val="753660612"/>
      </c:lineChart>
      <c:catAx>
        <c:axId val="22601394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3896409"/>
        <c:crosses val="autoZero"/>
        <c:auto val="1"/>
        <c:lblAlgn val="ctr"/>
        <c:lblOffset val="100"/>
        <c:noMultiLvlLbl val="0"/>
      </c:catAx>
      <c:valAx>
        <c:axId val="47389640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6013949"/>
        <c:crosses val="autoZero"/>
        <c:crossBetween val="between"/>
      </c:valAx>
      <c:catAx>
        <c:axId val="49977823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3660612"/>
        <c:crosses val="autoZero"/>
        <c:auto val="1"/>
        <c:lblAlgn val="ctr"/>
        <c:lblOffset val="100"/>
        <c:noMultiLvlLbl val="0"/>
      </c:catAx>
      <c:valAx>
        <c:axId val="75366061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9778235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[工作簿2.xlsx]Sheet1!$M$1</c:f>
              <c:strCache>
                <c:ptCount val="1"/>
                <c:pt idx="0">
                  <c:v>第二产业占比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[工作簿2.xlsx]Sheet1!$L$2:$L$7</c:f>
              <c:strCache>
                <c:ptCount val="6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  <c:pt idx="5">
                  <c:v>2018年</c:v>
                </c:pt>
              </c:strCache>
            </c:strRef>
          </c:cat>
          <c:val>
            <c:numRef>
              <c:f>[工作簿2.xlsx]Sheet1!$M$2:$M$7</c:f>
              <c:numCache>
                <c:formatCode>0.0_ </c:formatCode>
                <c:ptCount val="6"/>
                <c:pt idx="0">
                  <c:v>21.19807683978</c:v>
                </c:pt>
                <c:pt idx="1">
                  <c:v>20.669812557347</c:v>
                </c:pt>
                <c:pt idx="2">
                  <c:v>20.8525545419861</c:v>
                </c:pt>
                <c:pt idx="3">
                  <c:v>19.5694023871216</c:v>
                </c:pt>
                <c:pt idx="4">
                  <c:v>19.6218330849478</c:v>
                </c:pt>
                <c:pt idx="5">
                  <c:v>18.8681042970115</c:v>
                </c:pt>
              </c:numCache>
            </c:numRef>
          </c:val>
        </c:ser>
        <c:ser>
          <c:idx val="1"/>
          <c:order val="1"/>
          <c:tx>
            <c:strRef>
              <c:f>[工作簿2.xlsx]Sheet1!$N$1</c:f>
              <c:strCache>
                <c:ptCount val="1"/>
                <c:pt idx="0">
                  <c:v>第三产业占比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[工作簿2.xlsx]Sheet1!$L$2:$L$7</c:f>
              <c:strCache>
                <c:ptCount val="6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  <c:pt idx="5">
                  <c:v>2018年</c:v>
                </c:pt>
              </c:strCache>
            </c:strRef>
          </c:cat>
          <c:val>
            <c:numRef>
              <c:f>[工作簿2.xlsx]Sheet1!$N$2:$N$7</c:f>
              <c:numCache>
                <c:formatCode>0.0_ </c:formatCode>
                <c:ptCount val="6"/>
                <c:pt idx="0">
                  <c:v>78.7687154387029</c:v>
                </c:pt>
                <c:pt idx="1">
                  <c:v>79.3092148381177</c:v>
                </c:pt>
                <c:pt idx="2">
                  <c:v>79.1289468511903</c:v>
                </c:pt>
                <c:pt idx="3">
                  <c:v>80.4170698966691</c:v>
                </c:pt>
                <c:pt idx="4">
                  <c:v>80.3641952309985</c:v>
                </c:pt>
                <c:pt idx="5">
                  <c:v>81.1223679613809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1839707"/>
        <c:axId val="456832801"/>
      </c:barChart>
      <c:catAx>
        <c:axId val="1118397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6832801"/>
        <c:crosses val="autoZero"/>
        <c:auto val="1"/>
        <c:lblAlgn val="ctr"/>
        <c:lblOffset val="100"/>
        <c:noMultiLvlLbl val="0"/>
      </c:catAx>
      <c:valAx>
        <c:axId val="45683280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8397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31388888888889"/>
          <c:y val="0.0573074712736978"/>
          <c:w val="0.888388888888889"/>
          <c:h val="0.884997386304234"/>
        </c:manualLayout>
      </c:layout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24</a:t>
                    </a:r>
                    <a:r>
                      <a:rPr lang="en-US" altLang="zh-CN"/>
                      <a:t>.0</a:t>
                    </a:r>
                    <a:endParaRPr lang="en-US" altLang="zh-CN"/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15</a:t>
                    </a:r>
                    <a:r>
                      <a:rPr lang="en-US" altLang="zh-CN"/>
                      <a:t>.0</a:t>
                    </a:r>
                    <a:endParaRPr lang="en-US" altLang="zh-CN"/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00625"/>
                  <c:y val="-0.051753043088641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-4</a:t>
                    </a:r>
                    <a:r>
                      <a:rPr lang="en-US" altLang="zh-CN"/>
                      <a:t>.0</a:t>
                    </a:r>
                    <a:endParaRPr lang="en-US" altLang="zh-CN"/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208333333333333"/>
                  <c:y val="0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10</a:t>
                    </a:r>
                    <a:r>
                      <a:rPr lang="en-US" altLang="zh-CN"/>
                      <a:t>.0</a:t>
                    </a:r>
                    <a:endParaRPr lang="en-US" altLang="zh-CN"/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833333333333"/>
                      <c:h val="0.129116570831155"/>
                    </c:manualLayout>
                  </c15:layout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[工作簿5]Sheet1!$A$1:$A$6</c:f>
              <c:strCache>
                <c:ptCount val="6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  <c:pt idx="5">
                  <c:v>2018年</c:v>
                </c:pt>
              </c:strCache>
            </c:strRef>
          </c:cat>
          <c:val>
            <c:numRef>
              <c:f>[工作簿5]Sheet1!$B$1:$B$6</c:f>
              <c:numCache>
                <c:formatCode>0.0_ </c:formatCode>
                <c:ptCount val="6"/>
                <c:pt idx="0">
                  <c:v>24</c:v>
                </c:pt>
                <c:pt idx="1">
                  <c:v>15</c:v>
                </c:pt>
                <c:pt idx="2" c:formatCode="General">
                  <c:v>5.5</c:v>
                </c:pt>
                <c:pt idx="3">
                  <c:v>-4</c:v>
                </c:pt>
                <c:pt idx="4" c:formatCode="General">
                  <c:v>10</c:v>
                </c:pt>
                <c:pt idx="5" c:formatCode="General">
                  <c:v>8.5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8186920"/>
        <c:axId val="931176213"/>
      </c:lineChart>
      <c:catAx>
        <c:axId val="468186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1176213"/>
        <c:crosses val="autoZero"/>
        <c:auto val="1"/>
        <c:lblAlgn val="ctr"/>
        <c:lblOffset val="100"/>
        <c:noMultiLvlLbl val="0"/>
      </c:catAx>
      <c:valAx>
        <c:axId val="931176213"/>
        <c:scaling>
          <c:orientation val="minMax"/>
          <c:min val="-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8186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'[2013-2018年社零总额总量及增幅.xlsx]Sheet1'!$B$1</c:f>
              <c:strCache>
                <c:ptCount val="1"/>
                <c:pt idx="0">
                  <c:v>社零总额总量（亿元）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'[2013-2018年社零总额总量及增幅.xlsx]Sheet1'!$A$2:$A$7</c:f>
              <c:strCache>
                <c:ptCount val="6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  <c:pt idx="5">
                  <c:v>2018年</c:v>
                </c:pt>
              </c:strCache>
            </c:strRef>
          </c:cat>
          <c:val>
            <c:numRef>
              <c:f>'[2013-2018年社零总额总量及增幅.xlsx]Sheet1'!$B$2:$B$7</c:f>
              <c:numCache>
                <c:formatCode>0.00_ </c:formatCode>
                <c:ptCount val="6"/>
                <c:pt idx="0">
                  <c:v>465.16</c:v>
                </c:pt>
                <c:pt idx="1">
                  <c:v>525.81</c:v>
                </c:pt>
                <c:pt idx="2">
                  <c:v>541.51</c:v>
                </c:pt>
                <c:pt idx="3">
                  <c:v>598.12</c:v>
                </c:pt>
                <c:pt idx="4">
                  <c:v>658.34</c:v>
                </c:pt>
                <c:pt idx="5" c:formatCode="General">
                  <c:v>719.75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2898959"/>
        <c:axId val="848768093"/>
      </c:barChart>
      <c:lineChart>
        <c:grouping val="standard"/>
        <c:varyColors val="0"/>
        <c:ser>
          <c:idx val="1"/>
          <c:order val="1"/>
          <c:tx>
            <c:strRef>
              <c:f>'[2013-2018年社零总额总量及增幅.xlsx]Sheet1'!$C$1</c:f>
              <c:strCache>
                <c:ptCount val="1"/>
                <c:pt idx="0">
                  <c:v>社零总额增幅（%）</c:v>
                </c:pt>
              </c:strCache>
            </c:strRef>
          </c:tx>
          <c:spPr>
            <a:ln w="15875" cap="rnd">
              <a:solidFill>
                <a:schemeClr val="accent2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none"/>
          </c:marker>
          <c:dLbls>
            <c:dLbl>
              <c:idx val="5"/>
              <c:delete val="1"/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'[2013-2018年社零总额总量及增幅.xlsx]Sheet1'!$A$2:$A$7</c:f>
              <c:strCache>
                <c:ptCount val="6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  <c:pt idx="5">
                  <c:v>2018年</c:v>
                </c:pt>
              </c:strCache>
            </c:strRef>
          </c:cat>
          <c:val>
            <c:numRef>
              <c:f>'[2013-2018年社零总额总量及增幅.xlsx]Sheet1'!$C$2:$C$7</c:f>
              <c:numCache>
                <c:formatCode>0.0_ </c:formatCode>
                <c:ptCount val="6"/>
                <c:pt idx="0">
                  <c:v>13.1</c:v>
                </c:pt>
                <c:pt idx="1">
                  <c:v>12.7</c:v>
                </c:pt>
                <c:pt idx="2">
                  <c:v>11.5</c:v>
                </c:pt>
                <c:pt idx="3">
                  <c:v>10.5</c:v>
                </c:pt>
                <c:pt idx="4">
                  <c:v>10.2</c:v>
                </c:pt>
                <c:pt idx="5">
                  <c:v>10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58667797"/>
        <c:axId val="863842678"/>
      </c:lineChart>
      <c:catAx>
        <c:axId val="452898959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8768093"/>
        <c:crosses val="autoZero"/>
        <c:auto val="1"/>
        <c:lblAlgn val="ctr"/>
        <c:lblOffset val="100"/>
        <c:noMultiLvlLbl val="0"/>
      </c:catAx>
      <c:valAx>
        <c:axId val="848768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898959"/>
        <c:crosses val="autoZero"/>
        <c:crossBetween val="between"/>
      </c:valAx>
      <c:catAx>
        <c:axId val="458667797"/>
        <c:scaling>
          <c:orientation val="minMax"/>
        </c:scaling>
        <c:delete val="1"/>
        <c:axPos val="t"/>
        <c:numFmt formatCode="General" sourceLinked="0"/>
        <c:majorTickMark val="out"/>
        <c:minorTickMark val="none"/>
        <c:tickLblPos val="nextTo"/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3842678"/>
        <c:crosses val="max"/>
        <c:auto val="1"/>
        <c:lblAlgn val="ctr"/>
        <c:lblOffset val="100"/>
        <c:noMultiLvlLbl val="0"/>
      </c:catAx>
      <c:valAx>
        <c:axId val="863842678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8667797"/>
        <c:crosses val="max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[工作簿2.xlsx]Sheet2!$A$1:$A$6</c:f>
              <c:strCache>
                <c:ptCount val="6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  <c:pt idx="5">
                  <c:v>2018年</c:v>
                </c:pt>
              </c:strCache>
            </c:strRef>
          </c:cat>
          <c:val>
            <c:numRef>
              <c:f>[工作簿2.xlsx]Sheet2!$B$1:$B$6</c:f>
              <c:numCache>
                <c:formatCode>General</c:formatCode>
                <c:ptCount val="6"/>
                <c:pt idx="0">
                  <c:v>30837</c:v>
                </c:pt>
                <c:pt idx="1">
                  <c:v>37068</c:v>
                </c:pt>
                <c:pt idx="2">
                  <c:v>40687</c:v>
                </c:pt>
                <c:pt idx="3">
                  <c:v>44182</c:v>
                </c:pt>
                <c:pt idx="4">
                  <c:v>48158</c:v>
                </c:pt>
                <c:pt idx="5">
                  <c:v>52921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1148115"/>
        <c:axId val="975389137"/>
      </c:barChart>
      <c:catAx>
        <c:axId val="1211481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5389137"/>
        <c:crosses val="autoZero"/>
        <c:auto val="1"/>
        <c:lblAlgn val="ctr"/>
        <c:lblOffset val="100"/>
        <c:noMultiLvlLbl val="0"/>
      </c:catAx>
      <c:valAx>
        <c:axId val="97538913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11481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2875</Words>
  <Characters>1081</Characters>
  <Lines>9</Lines>
  <Paragraphs>7</Paragraphs>
  <TotalTime>0</TotalTime>
  <ScaleCrop>false</ScaleCrop>
  <LinksUpToDate>false</LinksUpToDate>
  <CharactersWithSpaces>3949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2019-09-26T01:16:00Z</dcterms:created>
  <dc:creator>MissMoustache</dc:creator>
  <cp:lastModifiedBy>Lenovo</cp:lastModifiedBy>
  <dcterms:modified xsi:type="dcterms:W3CDTF">2022-09-26T07:28:34Z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