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江岸区201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年国民经济和社会发展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统计公报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年，全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上下以习近平新时代中国特色社会主义思想为指导，全面贯彻党的十九大和十九届二中、三中、四中全会精神，按照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决策部署，坚持稳中求进工作总基调，积极应对经济社会发展中的困难和挑战，统筹推进稳增长、促改革、调结构、惠民生、防风险、保稳定各项工作，全区经济平稳运行，人民生活持续改善，社会发展活力不断增强，全面建成小康社会取得新的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一、综合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全年完成地区生产总值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1335.9</w:t>
      </w:r>
      <w:r>
        <w:rPr>
          <w:rFonts w:hint="eastAsia" w:ascii="仿宋_GB2312" w:hAnsi="宋体" w:eastAsia="仿宋_GB2312"/>
          <w:sz w:val="32"/>
          <w:szCs w:val="32"/>
        </w:rPr>
        <w:t>亿元，比上年增长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6.2</w:t>
      </w:r>
      <w:r>
        <w:rPr>
          <w:rFonts w:hint="eastAsia" w:ascii="仿宋_GB2312" w:hAnsi="宋体" w:eastAsia="仿宋_GB2312"/>
          <w:sz w:val="32"/>
          <w:szCs w:val="32"/>
        </w:rPr>
        <w:t>%。其中，第二产业增加值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237.82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8.9</w:t>
      </w:r>
      <w:r>
        <w:rPr>
          <w:rFonts w:hint="eastAsia" w:ascii="仿宋_GB2312" w:hAnsi="宋体" w:eastAsia="仿宋_GB2312"/>
          <w:sz w:val="32"/>
          <w:szCs w:val="32"/>
        </w:rPr>
        <w:t>%；第三产业增加值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1098.08</w:t>
      </w:r>
      <w:r>
        <w:rPr>
          <w:rFonts w:hint="eastAsia" w:ascii="仿宋_GB2312" w:hAnsi="宋体" w:eastAsia="仿宋_GB2312"/>
          <w:sz w:val="32"/>
          <w:szCs w:val="32"/>
        </w:rPr>
        <w:t>亿元，增长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宋体" w:eastAsia="仿宋_GB2312"/>
          <w:sz w:val="32"/>
          <w:szCs w:val="32"/>
        </w:rPr>
        <w:t>%。第二产业增加值占地区生产总值的比重为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17.8</w:t>
      </w:r>
      <w:r>
        <w:rPr>
          <w:rFonts w:hint="eastAsia" w:ascii="仿宋_GB2312" w:hAnsi="宋体" w:eastAsia="仿宋_GB2312"/>
          <w:sz w:val="32"/>
          <w:szCs w:val="32"/>
        </w:rPr>
        <w:t>%；第三产业增加值比重为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82.2</w:t>
      </w:r>
      <w:r>
        <w:rPr>
          <w:rFonts w:hint="eastAsia" w:ascii="仿宋_GB2312" w:hAnsi="宋体" w:eastAsia="仿宋_GB2312"/>
          <w:sz w:val="32"/>
          <w:szCs w:val="32"/>
        </w:rPr>
        <w:t>%，比上年提高了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/>
          <w:sz w:val="32"/>
          <w:szCs w:val="32"/>
        </w:rPr>
        <w:t>个百分点。第二、第三产业对GDP增长贡献率分别为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25.9</w:t>
      </w:r>
      <w:r>
        <w:rPr>
          <w:rFonts w:hint="eastAsia" w:ascii="仿宋_GB2312" w:hAnsi="宋体" w:eastAsia="仿宋_GB2312"/>
          <w:sz w:val="32"/>
          <w:szCs w:val="32"/>
        </w:rPr>
        <w:t>%和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74.1</w:t>
      </w:r>
      <w:r>
        <w:rPr>
          <w:rFonts w:hint="eastAsia" w:ascii="仿宋_GB2312" w:hAnsi="宋体" w:eastAsia="仿宋_GB2312"/>
          <w:sz w:val="32"/>
          <w:szCs w:val="32"/>
        </w:rPr>
        <w:t>%。根据第四次全国经济普查结果和我国GDP核算制度规定，2018年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江岸区</w:t>
      </w:r>
      <w:r>
        <w:rPr>
          <w:rFonts w:hint="eastAsia" w:ascii="仿宋_GB2312" w:hAnsi="宋体" w:eastAsia="仿宋_GB2312"/>
          <w:sz w:val="32"/>
          <w:szCs w:val="32"/>
        </w:rPr>
        <w:t>地区生产总值修订为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1250.02</w:t>
      </w:r>
      <w:r>
        <w:rPr>
          <w:rFonts w:hint="eastAsia" w:ascii="仿宋_GB2312" w:hAnsi="宋体" w:eastAsia="仿宋_GB2312"/>
          <w:sz w:val="32"/>
          <w:szCs w:val="32"/>
        </w:rPr>
        <w:t>亿元。</w:t>
      </w:r>
    </w:p>
    <w:p>
      <w:pPr>
        <w:pStyle w:val="5"/>
        <w:autoSpaceDE w:val="0"/>
        <w:spacing w:before="93" w:beforeLines="30" w:after="62" w:afterLines="20" w:line="240" w:lineRule="exact"/>
        <w:ind w:firstLine="0" w:firstLineChars="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表1：201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年地区生产总值及其增长速度</w:t>
      </w:r>
    </w:p>
    <w:tbl>
      <w:tblPr>
        <w:tblStyle w:val="3"/>
        <w:tblW w:w="6678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26"/>
        <w:gridCol w:w="222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  标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年（亿元）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比上年增长（%）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方正书宋简体" w:hAnsi="宋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地区生产总值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hAnsi="宋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1335.90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hAnsi="宋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第一产业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第二产业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hAnsi="宋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237.82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</w:rPr>
              <w:t>第三产业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hAnsi="宋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1098.08</w:t>
            </w:r>
          </w:p>
        </w:tc>
        <w:tc>
          <w:tcPr>
            <w:tcW w:w="22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方正书宋简体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szCs w:val="24"/>
                <w:lang w:val="en-US" w:eastAsia="zh-CN"/>
              </w:rPr>
              <w:t>5.6</w:t>
            </w:r>
          </w:p>
        </w:tc>
      </w:tr>
    </w:tbl>
    <w:p>
      <w:pPr>
        <w:jc w:val="center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93" w:beforeLines="30" w:after="62" w:afterLines="20" w:line="240" w:lineRule="auto"/>
        <w:ind w:firstLine="0" w:firstLineChars="0"/>
        <w:jc w:val="center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图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—201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年二、三产业增加值占地区生产总值比重</w:t>
      </w:r>
    </w:p>
    <w:p>
      <w:pPr>
        <w:jc w:val="center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仿宋_GB2312" w:eastAsia="仿宋_GB2312"/>
          <w:sz w:val="21"/>
          <w:szCs w:val="21"/>
        </w:rPr>
        <w:t>单位：%</w:t>
      </w:r>
    </w:p>
    <w:p>
      <w:pPr>
        <w:jc w:val="center"/>
        <w:rPr>
          <w:rFonts w:hint="eastAsia"/>
          <w:sz w:val="22"/>
          <w:szCs w:val="22"/>
        </w:rPr>
      </w:pPr>
      <w:r>
        <w:drawing>
          <wp:inline distT="0" distB="0" distL="114300" distR="114300">
            <wp:extent cx="5087620" cy="2785745"/>
            <wp:effectExtent l="4445" t="4445" r="13335" b="1016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年，全区年末常住人口96.2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万人，比上年增加0.0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万人。户籍人口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78.59</w:t>
      </w:r>
      <w:r>
        <w:rPr>
          <w:rFonts w:hint="eastAsia" w:ascii="仿宋_GB2312" w:eastAsia="仿宋_GB2312"/>
          <w:sz w:val="32"/>
          <w:szCs w:val="32"/>
        </w:rPr>
        <w:t>万人，比上年增加2.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万人。全年出生人口0.8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万人，出生率为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10.69</w:t>
      </w:r>
      <w:r>
        <w:rPr>
          <w:rFonts w:hint="eastAsia" w:ascii="仿宋_GB2312" w:eastAsia="仿宋_GB2312"/>
          <w:sz w:val="32"/>
          <w:szCs w:val="32"/>
        </w:rPr>
        <w:t>‰；死亡人口0.5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万人，死亡率为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7.35</w:t>
      </w:r>
      <w:r>
        <w:rPr>
          <w:rFonts w:hint="eastAsia" w:ascii="仿宋_GB2312" w:eastAsia="仿宋_GB2312"/>
          <w:sz w:val="32"/>
          <w:szCs w:val="32"/>
        </w:rPr>
        <w:t>‰；自然增长率为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3.34</w:t>
      </w:r>
      <w:r>
        <w:rPr>
          <w:rFonts w:hint="eastAsia" w:ascii="仿宋_GB2312" w:eastAsia="仿宋_GB2312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全年完成一般公共预算总收入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172.74</w:t>
      </w:r>
      <w:r>
        <w:rPr>
          <w:rFonts w:hint="eastAsia" w:ascii="仿宋_GB2312" w:eastAsia="仿宋_GB2312"/>
          <w:sz w:val="32"/>
          <w:szCs w:val="32"/>
        </w:rPr>
        <w:t>亿元，比上年下降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</w:t>
      </w:r>
      <w:r>
        <w:rPr>
          <w:rFonts w:hint="eastAsia" w:ascii="仿宋_GB2312" w:eastAsia="仿宋_GB2312"/>
          <w:sz w:val="32"/>
          <w:szCs w:val="32"/>
        </w:rPr>
        <w:t>%，地方一般公共预算收入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102.70</w:t>
      </w:r>
      <w:r>
        <w:rPr>
          <w:rFonts w:hint="eastAsia" w:ascii="仿宋_GB2312" w:eastAsia="仿宋_GB2312"/>
          <w:sz w:val="32"/>
          <w:szCs w:val="32"/>
        </w:rPr>
        <w:t>亿元，比上年下降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4.1%</w:t>
      </w:r>
      <w:r>
        <w:rPr>
          <w:rFonts w:hint="eastAsia" w:ascii="仿宋_GB2312" w:eastAsia="仿宋_GB2312"/>
          <w:sz w:val="32"/>
          <w:szCs w:val="32"/>
        </w:rPr>
        <w:t>。财政一般预算支出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88.38</w:t>
      </w:r>
      <w:r>
        <w:rPr>
          <w:rFonts w:hint="eastAsia" w:ascii="仿宋_GB2312" w:eastAsia="仿宋_GB2312"/>
          <w:sz w:val="32"/>
          <w:szCs w:val="32"/>
        </w:rPr>
        <w:t>亿元，比上年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全区期末实有市场主体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11.58</w:t>
      </w:r>
      <w:r>
        <w:rPr>
          <w:rFonts w:hint="eastAsia" w:ascii="仿宋_GB2312" w:eastAsia="仿宋_GB2312"/>
          <w:sz w:val="32"/>
          <w:szCs w:val="32"/>
        </w:rPr>
        <w:t>万户，比上年增长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</w:t>
      </w:r>
      <w:r>
        <w:rPr>
          <w:rFonts w:hint="eastAsia" w:ascii="仿宋_GB2312" w:eastAsia="仿宋_GB2312"/>
          <w:sz w:val="32"/>
          <w:szCs w:val="32"/>
        </w:rPr>
        <w:t>%。其中，实有私营企业4.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万户，个体工商户6.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全区共有“四上”企业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853</w:t>
      </w:r>
      <w:r>
        <w:rPr>
          <w:rFonts w:hint="eastAsia" w:ascii="仿宋_GB2312" w:eastAsia="仿宋_GB2312"/>
          <w:color w:val="auto"/>
          <w:sz w:val="32"/>
          <w:szCs w:val="32"/>
        </w:rPr>
        <w:t>户，其中：规模以上工业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资质以上建筑业企业</w:t>
      </w:r>
      <w:r>
        <w:rPr>
          <w:rFonts w:hint="eastAsia" w:ascii="仿宋_GB2312" w:eastAsia="仿宋_GB2312"/>
          <w:color w:val="auto"/>
          <w:sz w:val="32"/>
          <w:szCs w:val="32"/>
        </w:rPr>
        <w:t>120户，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房地产开发经营企业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139</w:t>
      </w:r>
      <w:r>
        <w:rPr>
          <w:rFonts w:hint="eastAsia" w:ascii="仿宋_GB2312" w:eastAsia="仿宋_GB2312"/>
          <w:color w:val="auto"/>
          <w:sz w:val="32"/>
          <w:szCs w:val="32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限额以上</w:t>
      </w:r>
      <w:r>
        <w:rPr>
          <w:rFonts w:hint="eastAsia" w:ascii="仿宋_GB2312" w:eastAsia="仿宋_GB2312"/>
          <w:color w:val="auto"/>
          <w:sz w:val="32"/>
          <w:szCs w:val="32"/>
        </w:rPr>
        <w:t>批发零售住宿餐饮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</w:t>
      </w:r>
      <w:r>
        <w:rPr>
          <w:rFonts w:hint="eastAsia" w:ascii="仿宋_GB2312" w:eastAsia="仿宋_GB2312"/>
          <w:color w:val="auto"/>
          <w:sz w:val="32"/>
          <w:szCs w:val="32"/>
        </w:rPr>
        <w:t>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266</w:t>
      </w:r>
      <w:r>
        <w:rPr>
          <w:rFonts w:hint="eastAsia" w:ascii="仿宋_GB2312" w:eastAsia="仿宋_GB2312"/>
          <w:color w:val="auto"/>
          <w:sz w:val="32"/>
          <w:szCs w:val="32"/>
        </w:rPr>
        <w:t>户，规模以上服务业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306</w:t>
      </w:r>
      <w:r>
        <w:rPr>
          <w:rFonts w:hint="eastAsia" w:ascii="仿宋_GB2312" w:eastAsia="仿宋_GB2312"/>
          <w:color w:val="auto"/>
          <w:sz w:val="32"/>
          <w:szCs w:val="32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二、工业和建筑业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年，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规模以上工业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企业实现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增加值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94.96亿元，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比上年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增长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。实现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工业总产值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338.98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亿元，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比上年下降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0.3%。</w:t>
      </w:r>
    </w:p>
    <w:p>
      <w:pPr>
        <w:pStyle w:val="5"/>
        <w:autoSpaceDE w:val="0"/>
        <w:spacing w:before="93" w:beforeLines="30" w:after="62" w:afterLines="20" w:line="240" w:lineRule="exact"/>
        <w:ind w:firstLine="0" w:firstLineChars="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图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年规上工业产值、增加值速度</w:t>
      </w:r>
    </w:p>
    <w:p>
      <w:pPr>
        <w:autoSpaceDE w:val="0"/>
        <w:jc w:val="center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仿宋_GB2312" w:eastAsia="仿宋_GB2312"/>
          <w:sz w:val="21"/>
          <w:szCs w:val="21"/>
        </w:rPr>
        <w:t>单位：%</w:t>
      </w:r>
    </w:p>
    <w:p>
      <w:pPr>
        <w:jc w:val="center"/>
        <w:rPr>
          <w:rFonts w:hint="eastAsia"/>
          <w:sz w:val="22"/>
          <w:szCs w:val="22"/>
        </w:rPr>
      </w:pPr>
      <w:r>
        <w:drawing>
          <wp:inline distT="0" distB="0" distL="114300" distR="114300">
            <wp:extent cx="5139055" cy="262763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firstLine="640" w:firstLineChars="200"/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2019年，规上工业亿元行业增幅排在前三的分别是：有色金属冶炼和压延加工业，比上年增长20.6%；金属制品业，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增长18.6%；通用设备制造业，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增长17.7%。</w:t>
      </w:r>
    </w:p>
    <w:p>
      <w:pPr>
        <w:pStyle w:val="6"/>
        <w:spacing w:line="360" w:lineRule="auto"/>
        <w:ind w:firstLine="640" w:firstLineChars="200"/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2019年，全区规上高新制造业企业12户，完成产值17.1亿元，比上年下降0.3%。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2019年，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具有资质等级的总承包和专业承包建筑业企业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120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户，实现建筑业总产值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706.66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亿元，比上年增长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11.6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年，全社会固定资产投资比上年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按产业分，第二产业比上年增长171.9%；第三产业投资比上年下降24.4%。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00万元以上城镇投资项目107个，完成投资133.68亿元，同比增长3.6%，占全社会投资比重为35.3%；房地产开发投资项目114个，完成投资245.1亿元，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下降24.8%，占全社会投资比重为64.7%。商品房销售面积完成249.33万平方米，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下降20.8%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表2：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年分行业固定资产投资增长速度</w:t>
      </w:r>
    </w:p>
    <w:tbl>
      <w:tblPr>
        <w:tblStyle w:val="3"/>
        <w:tblW w:w="841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08"/>
        <w:gridCol w:w="2972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3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  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比上年增长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（%）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  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比上年增长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（%）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-16.7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房地产开发经营投资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-24.8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-28.3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-80.1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104.1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-38.9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-88.7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-87.7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-43.9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391.5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617.8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-61.9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-68.9 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四、国内贸易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年，全区社会消费品零售总额</w:t>
      </w:r>
      <w:r>
        <w:rPr>
          <w:rFonts w:hint="eastAsia" w:ascii="仿宋_GB2312" w:eastAsia="仿宋_GB2312"/>
          <w:sz w:val="32"/>
          <w:szCs w:val="32"/>
        </w:rPr>
        <w:t>776.98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亿元，比上年增长</w:t>
      </w:r>
      <w:r>
        <w:rPr>
          <w:rFonts w:hint="eastAsia" w:ascii="仿宋_GB2312" w:eastAsia="仿宋_GB2312"/>
          <w:sz w:val="32"/>
          <w:szCs w:val="32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其中，限上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批发业完成销售额518.73亿元，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零售业完成销售额189.40亿元，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下降11.3%；餐饮业完成营业额47.34亿元，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增长9.2%，住宿业完成营业额5.54亿元，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下降1.7%。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限上批发和零售业销售总量排名前三的行业是金属材料、石油制品和汽车类。其中，金属材料类销售额</w:t>
      </w:r>
      <w:r>
        <w:rPr>
          <w:rFonts w:hint="eastAsia" w:ascii="仿宋_GB2312" w:eastAsia="仿宋_GB2312"/>
          <w:sz w:val="32"/>
          <w:szCs w:val="32"/>
          <w:lang w:eastAsia="zh-CN"/>
        </w:rPr>
        <w:t>比上年</w:t>
      </w:r>
      <w:r>
        <w:rPr>
          <w:rFonts w:hint="eastAsia" w:ascii="仿宋_GB2312" w:eastAsia="仿宋_GB2312"/>
          <w:sz w:val="32"/>
          <w:szCs w:val="32"/>
        </w:rPr>
        <w:t>增长1.9%，石油制品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销售额</w:t>
      </w:r>
      <w:r>
        <w:rPr>
          <w:rFonts w:hint="eastAsia" w:ascii="仿宋_GB2312" w:eastAsia="仿宋_GB2312"/>
          <w:sz w:val="32"/>
          <w:szCs w:val="32"/>
          <w:lang w:eastAsia="zh-CN"/>
        </w:rPr>
        <w:t>比上年下降</w:t>
      </w:r>
      <w:r>
        <w:rPr>
          <w:rFonts w:hint="eastAsia" w:ascii="仿宋_GB2312" w:eastAsia="仿宋_GB2312"/>
          <w:sz w:val="32"/>
          <w:szCs w:val="32"/>
        </w:rPr>
        <w:t>7.6%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汽车类销售额</w:t>
      </w:r>
      <w:r>
        <w:rPr>
          <w:rFonts w:hint="eastAsia" w:ascii="仿宋_GB2312" w:eastAsia="仿宋_GB2312"/>
          <w:sz w:val="32"/>
          <w:szCs w:val="32"/>
          <w:lang w:eastAsia="zh-CN"/>
        </w:rPr>
        <w:t>比上年下降</w:t>
      </w:r>
      <w:r>
        <w:rPr>
          <w:rFonts w:hint="eastAsia" w:ascii="仿宋_GB2312" w:eastAsia="仿宋_GB2312"/>
          <w:sz w:val="32"/>
          <w:szCs w:val="32"/>
        </w:rPr>
        <w:t>16.7%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2019年限上重点行业销售额同比增幅和总量占比情况</w:t>
      </w:r>
    </w:p>
    <w:tbl>
      <w:tblPr>
        <w:tblStyle w:val="3"/>
        <w:tblW w:w="82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1686"/>
        <w:gridCol w:w="1686"/>
        <w:gridCol w:w="981"/>
        <w:gridCol w:w="13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指标名称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商品销售额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(亿元)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去年同期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（亿元）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同比增幅（%）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销售额总量占全区比重（%）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金属材料类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157.90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154.99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1.9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22.3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石油及制品类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103.66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112.21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-7.6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14.6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汽车类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101.72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122.11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-16.7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14.4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粮油、食品类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71.94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63.00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14.2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10.2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棉麻类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70.58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70.82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-0.3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10.0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中西药品类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53.19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52.63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1.1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7.5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服装、鞋帽、针纺织品类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37.66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43.65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-13.7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5.3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重点行业合计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708.13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736.94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 xml:space="preserve">-3.9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cs="Arial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 w:val="21"/>
                <w:szCs w:val="21"/>
              </w:rPr>
              <w:t>84.3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按销售类值分，限额以上单位27类商品中，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体育娱乐用品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19.0%、通讯器材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17.4%、建筑及装潢材料类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粮油食品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14.2%、五金电料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14.1%、烟酒类增长11.8%。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五、对外经济和招商引资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年，全区招商引资总额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720.08</w:t>
      </w:r>
      <w:r>
        <w:rPr>
          <w:rFonts w:hint="eastAsia" w:ascii="仿宋_GB2312" w:eastAsia="仿宋_GB2312"/>
          <w:sz w:val="32"/>
          <w:szCs w:val="32"/>
        </w:rPr>
        <w:t>亿元，比上年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3.8</w:t>
      </w:r>
      <w:r>
        <w:rPr>
          <w:rFonts w:hint="eastAsia" w:ascii="仿宋_GB2312" w:eastAsia="仿宋_GB2312"/>
          <w:sz w:val="32"/>
          <w:szCs w:val="32"/>
        </w:rPr>
        <w:t>%。实际利用外资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74430</w:t>
      </w:r>
      <w:r>
        <w:rPr>
          <w:rFonts w:hint="eastAsia" w:ascii="仿宋_GB2312" w:eastAsia="仿宋_GB2312"/>
          <w:sz w:val="32"/>
          <w:szCs w:val="32"/>
        </w:rPr>
        <w:t>万美元，比上年增长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16.9</w:t>
      </w:r>
      <w:r>
        <w:rPr>
          <w:rFonts w:hint="eastAsia" w:ascii="仿宋_GB2312" w:eastAsia="仿宋_GB2312"/>
          <w:sz w:val="32"/>
          <w:szCs w:val="32"/>
        </w:rPr>
        <w:t>%。外贸出口创汇额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99380.41</w:t>
      </w:r>
      <w:r>
        <w:rPr>
          <w:rFonts w:hint="eastAsia" w:ascii="仿宋_GB2312" w:eastAsia="仿宋_GB2312"/>
          <w:sz w:val="32"/>
          <w:szCs w:val="32"/>
        </w:rPr>
        <w:t>万美元，比上年下降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12.9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六、城市建设和环境保护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年，全区进行背街小巷道路改造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17条，改造面积47096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万元；新、改、扩建市政道路、排水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9个，面积39986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18807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旧城改造征收项目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9个，累计征收面积81.38万平方米，城中村改造项目3个，累计改造面积40.11万平方米。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全年环境空气细颗粒物（PM2.5）和可吸入颗粒物（PM10）年均浓度值分别为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微克/立方米和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微克/立方米。全年植树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万株，新增绿地面积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81.66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万平方米，人均公园绿地面积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平方米/人，绿地率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%，绿化覆盖率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七、教育和科学技术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年，全区共有幼儿园1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所，在园幼儿2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人；小学39所，在校学生5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人；中学31所，在校学生3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人；职业中专5所，在校学生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人；辅读学校1所,在校学生11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人，专任教师14人。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全区教育基本建设资金总投入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6977.83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万元，新建（在建）中小学4个，扩建中小学2个，新、扩建竣工面积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31165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万平方米，新、扩建投入金额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6877.83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万元；中小学危房改造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平方米，投入金额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年，全区高新技术企业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家，年度专利申请量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科技企业孵化器国家级2家、省级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家、市级1家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众创空间国家级2家、省级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家、市级1家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企业研发中心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3家、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市级12家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省级以上重点实验室、工程技术研发中心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八、文化、体育和卫生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年，全区共有文化（站）室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1所，网吧（营业）100家，电子游艺室3家，歌舞厅、卡拉OK厅（营业）16家，游泳池19家，创建市级科普教育基地3所，建设科普e站50座，社区科技馆3个，科普驿站2处，科普长廊5处。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年，全区共有医疗卫生机构1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个，床位数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个；各类卫生技术人员10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人，其中：执业医师33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人、执业助理医师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人、执业护士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人、药剂人员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人、检验人员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人、其他卫计人员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人。全年门诊人数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52.00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急诊人数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1.6万人，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上门服务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人次，入院人数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万人，出院人数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九、人民生活和社会保障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人均生活消费支出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39197</w:t>
      </w:r>
      <w:r>
        <w:rPr>
          <w:rFonts w:hint="eastAsia" w:ascii="仿宋_GB2312" w:eastAsia="仿宋_GB2312"/>
          <w:sz w:val="32"/>
          <w:szCs w:val="32"/>
          <w:highlight w:val="none"/>
        </w:rPr>
        <w:t>元/人年，增长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3.54</w:t>
      </w:r>
      <w:r>
        <w:rPr>
          <w:rFonts w:hint="eastAsia" w:ascii="仿宋_GB2312" w:eastAsia="仿宋_GB2312"/>
          <w:sz w:val="32"/>
          <w:szCs w:val="32"/>
          <w:highlight w:val="none"/>
        </w:rPr>
        <w:t>％。每百户家庭拥有家用汽车4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辆，助力车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highlight w:val="none"/>
        </w:rPr>
        <w:t>辆，洗衣机10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台，电冰箱（柜）10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台，彩色电视机128台，空调2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套，热水器10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架，移动电话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231</w:t>
      </w:r>
      <w:r>
        <w:rPr>
          <w:rFonts w:hint="eastAsia" w:ascii="仿宋_GB2312" w:eastAsia="仿宋_GB2312"/>
          <w:sz w:val="32"/>
          <w:szCs w:val="32"/>
          <w:highlight w:val="none"/>
        </w:rPr>
        <w:t>部，计算机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  <w:highlight w:val="none"/>
        </w:rPr>
        <w:t>台。</w:t>
      </w:r>
    </w:p>
    <w:p>
      <w:pPr>
        <w:pStyle w:val="5"/>
        <w:autoSpaceDE w:val="0"/>
        <w:spacing w:before="93" w:beforeLines="30" w:after="62" w:afterLines="20" w:line="240" w:lineRule="exact"/>
        <w:ind w:firstLine="0" w:firstLineChars="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图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-201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28"/>
          <w:szCs w:val="28"/>
        </w:rPr>
        <w:t>年城镇常住居民人均可支配收入</w:t>
      </w:r>
    </w:p>
    <w:p>
      <w:pPr>
        <w:autoSpaceDE w:val="0"/>
        <w:adjustRightInd w:val="0"/>
        <w:snapToGrid w:val="0"/>
        <w:jc w:val="center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21"/>
          <w:szCs w:val="21"/>
        </w:rPr>
        <w:t>单位：元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drawing>
          <wp:inline distT="0" distB="0" distL="114300" distR="114300">
            <wp:extent cx="4705985" cy="2857500"/>
            <wp:effectExtent l="5080" t="5080" r="13335" b="1397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firstLine="44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全年城镇新增就业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30776</w:t>
      </w:r>
      <w:r>
        <w:rPr>
          <w:rFonts w:hint="eastAsia" w:ascii="仿宋_GB2312" w:eastAsia="仿宋_GB2312"/>
          <w:sz w:val="32"/>
          <w:szCs w:val="32"/>
          <w:highlight w:val="none"/>
        </w:rPr>
        <w:t>人，下岗失业人员再就业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3794</w:t>
      </w:r>
      <w:r>
        <w:rPr>
          <w:rFonts w:hint="eastAsia" w:ascii="仿宋_GB2312" w:eastAsia="仿宋_GB2312"/>
          <w:sz w:val="32"/>
          <w:szCs w:val="32"/>
          <w:highlight w:val="none"/>
        </w:rPr>
        <w:t>人，其中困难群体再就业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2584</w:t>
      </w:r>
      <w:r>
        <w:rPr>
          <w:rFonts w:hint="eastAsia" w:ascii="仿宋_GB2312" w:eastAsia="仿宋_GB2312"/>
          <w:sz w:val="32"/>
          <w:szCs w:val="32"/>
          <w:highlight w:val="none"/>
        </w:rPr>
        <w:t>人；劳动力市场推荐就业成功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1491</w:t>
      </w:r>
      <w:r>
        <w:rPr>
          <w:rFonts w:hint="eastAsia" w:ascii="仿宋_GB2312" w:eastAsia="仿宋_GB2312"/>
          <w:sz w:val="32"/>
          <w:szCs w:val="32"/>
          <w:highlight w:val="none"/>
        </w:rPr>
        <w:t>人次，就业再培训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3511</w:t>
      </w:r>
      <w:r>
        <w:rPr>
          <w:rFonts w:hint="eastAsia" w:ascii="仿宋_GB2312" w:eastAsia="仿宋_GB2312"/>
          <w:sz w:val="32"/>
          <w:szCs w:val="32"/>
          <w:highlight w:val="none"/>
        </w:rPr>
        <w:t>人；城镇登记失业率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2.64</w:t>
      </w:r>
      <w:r>
        <w:rPr>
          <w:rFonts w:hint="eastAsia" w:ascii="仿宋_GB2312" w:eastAsia="仿宋_GB2312"/>
          <w:sz w:val="32"/>
          <w:szCs w:val="32"/>
          <w:highlight w:val="none"/>
        </w:rPr>
        <w:t>%。全年民政事业支出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32046.6</w:t>
      </w:r>
      <w:r>
        <w:rPr>
          <w:rFonts w:hint="eastAsia" w:ascii="仿宋_GB2312" w:eastAsia="仿宋_GB2312"/>
          <w:sz w:val="32"/>
          <w:szCs w:val="32"/>
          <w:highlight w:val="none"/>
        </w:rPr>
        <w:t>万元，全年城市最低保障金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6088.9</w:t>
      </w:r>
      <w:r>
        <w:rPr>
          <w:rFonts w:hint="eastAsia" w:ascii="仿宋_GB2312" w:eastAsia="仿宋_GB2312"/>
          <w:sz w:val="32"/>
          <w:szCs w:val="32"/>
          <w:highlight w:val="none"/>
        </w:rPr>
        <w:t>万元；享受城市居民最低生活保障户数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4592</w:t>
      </w:r>
      <w:r>
        <w:rPr>
          <w:rFonts w:hint="eastAsia" w:ascii="仿宋_GB2312" w:eastAsia="仿宋_GB2312"/>
          <w:sz w:val="32"/>
          <w:szCs w:val="32"/>
          <w:highlight w:val="none"/>
        </w:rPr>
        <w:t>户，享受城市居民最低生活保障人数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5898</w:t>
      </w:r>
      <w:r>
        <w:rPr>
          <w:rFonts w:hint="eastAsia" w:ascii="仿宋_GB2312" w:eastAsia="仿宋_GB2312"/>
          <w:sz w:val="32"/>
          <w:szCs w:val="32"/>
          <w:highlight w:val="none"/>
        </w:rPr>
        <w:t>人，享受困难救济户（临救）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753</w:t>
      </w:r>
      <w:r>
        <w:rPr>
          <w:rFonts w:hint="eastAsia" w:ascii="仿宋_GB2312" w:eastAsia="仿宋_GB2312"/>
          <w:sz w:val="32"/>
          <w:szCs w:val="32"/>
          <w:highlight w:val="none"/>
        </w:rPr>
        <w:t>户。</w:t>
      </w:r>
    </w:p>
    <w:sectPr>
      <w:pgSz w:w="11906" w:h="16838"/>
      <w:pgMar w:top="187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45AC"/>
    <w:rsid w:val="03CC03A1"/>
    <w:rsid w:val="1304698B"/>
    <w:rsid w:val="22C4402B"/>
    <w:rsid w:val="2CFB5FD8"/>
    <w:rsid w:val="39352786"/>
    <w:rsid w:val="3C605B3D"/>
    <w:rsid w:val="42DC3B96"/>
    <w:rsid w:val="5B6344C3"/>
    <w:rsid w:val="620948E3"/>
    <w:rsid w:val="644C45AC"/>
    <w:rsid w:val="76C15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.PC-20191218RXRG\Desktop\&#32479;&#35745;&#20844;&#25253;\&#32479;&#35745;&#20844;&#25253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[工作簿1]Sheet2!$B$1</c:f>
              <c:strCache>
                <c:ptCount val="1"/>
                <c:pt idx="0">
                  <c:v>第二产业占比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0208333333333333"/>
                  <c:y val="0.0034722222222222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[工作簿1]Sheet2!$B$2:$B$6</c:f>
              <c:numCache>
                <c:formatCode>General</c:formatCode>
                <c:ptCount val="5"/>
                <c:pt idx="0">
                  <c:v>20.9</c:v>
                </c:pt>
                <c:pt idx="1">
                  <c:v>19.6</c:v>
                </c:pt>
                <c:pt idx="2">
                  <c:v>19.6</c:v>
                </c:pt>
                <c:pt idx="3">
                  <c:v>18.9</c:v>
                </c:pt>
                <c:pt idx="4">
                  <c:v>17.8</c:v>
                </c:pt>
              </c:numCache>
            </c:numRef>
          </c:val>
        </c:ser>
        <c:ser>
          <c:idx val="1"/>
          <c:order val="1"/>
          <c:tx>
            <c:strRef>
              <c:f>[工作簿1]Sheet2!$C$1</c:f>
              <c:strCache>
                <c:ptCount val="1"/>
                <c:pt idx="0">
                  <c:v>第三产业占比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[工作簿1]Sheet2!$A$2:$A$6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[工作簿1]Sheet2!$C$2:$C$6</c:f>
              <c:numCache>
                <c:formatCode>General</c:formatCode>
                <c:ptCount val="5"/>
                <c:pt idx="0">
                  <c:v>79.1</c:v>
                </c:pt>
                <c:pt idx="1">
                  <c:v>80.4</c:v>
                </c:pt>
                <c:pt idx="2">
                  <c:v>80.4</c:v>
                </c:pt>
                <c:pt idx="3">
                  <c:v>81.1</c:v>
                </c:pt>
                <c:pt idx="4">
                  <c:v>82.2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14446508"/>
        <c:axId val="208963292"/>
      </c:barChart>
      <c:catAx>
        <c:axId val="8144465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208963292"/>
        <c:crosses val="autoZero"/>
        <c:auto val="1"/>
        <c:lblAlgn val="ctr"/>
        <c:lblOffset val="100"/>
        <c:noMultiLvlLbl val="0"/>
      </c:catAx>
      <c:valAx>
        <c:axId val="2089632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8144465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[统计公报图表.xlsx]Sheet3!$A$1:$A$5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[统计公报图表.xlsx]Sheet3!$B$1:$B$5</c:f>
              <c:numCache>
                <c:formatCode>General</c:formatCode>
                <c:ptCount val="5"/>
                <c:pt idx="0">
                  <c:v>40687</c:v>
                </c:pt>
                <c:pt idx="1">
                  <c:v>44182</c:v>
                </c:pt>
                <c:pt idx="2">
                  <c:v>48158</c:v>
                </c:pt>
                <c:pt idx="3">
                  <c:v>52921</c:v>
                </c:pt>
                <c:pt idx="4">
                  <c:v>57839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77014320"/>
        <c:axId val="799982050"/>
      </c:barChart>
      <c:catAx>
        <c:axId val="57701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9982050"/>
        <c:crosses val="autoZero"/>
        <c:auto val="1"/>
        <c:lblAlgn val="ctr"/>
        <c:lblOffset val="100"/>
        <c:noMultiLvlLbl val="0"/>
      </c:catAx>
      <c:valAx>
        <c:axId val="79998205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701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2020-09-16T07:45:00Z</dcterms:created>
  <dc:creator>JINGFENG</dc:creator>
  <cp:lastModifiedBy>Lenovo</cp:lastModifiedBy>
  <dcterms:modified xsi:type="dcterms:W3CDTF">2022-09-26T07:30:17Z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