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江岸区20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年国民经济和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社会发展统计公报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ind w:left="0" w:firstLine="440" w:firstLineChars="200"/>
        <w:jc w:val="both"/>
        <w:textAlignment w:val="auto"/>
        <w:rPr>
          <w:rFonts w:hint="eastAsia" w:ascii="仿宋_GB2312" w:eastAsia="仿宋_GB2312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，在区委区政府的坚强领导下，全区上下坚决贯彻落实党中央“疫情要防住、经济要稳住、发展要安全”部署要求，高效统筹疫情防控和经济社会发展，全区经济稳中提质、承压向前，经济总量再上新台阶，主要经济指标运行在合理区间，高质量发展取得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一、综合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eastAsia="仿宋_GB2312"/>
          <w:color w:val="auto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全年完成地区生产总值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1528.94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亿元，比上年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%。其中，第二产业增加值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287.42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亿元，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增长12.5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%；第三产业增加值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1241.52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亿元，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增长2.3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%。第二产业增加值占地区生产总值比重为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18.8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%；第三产业增加值比重为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81.2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年末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全区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常住人口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105.11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万人，比上年增加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0.01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万人。</w:t>
      </w:r>
      <w:r>
        <w:rPr>
          <w:rFonts w:hint="eastAsia" w:ascii="仿宋_GB2312" w:eastAsia="仿宋_GB2312"/>
          <w:color w:val="auto"/>
          <w:sz w:val="32"/>
          <w:szCs w:val="32"/>
        </w:rPr>
        <w:t>户籍人口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82.22</w:t>
      </w:r>
      <w:r>
        <w:rPr>
          <w:rFonts w:hint="eastAsia" w:ascii="仿宋_GB2312" w:eastAsia="仿宋_GB2312"/>
          <w:color w:val="auto"/>
          <w:sz w:val="32"/>
          <w:szCs w:val="32"/>
        </w:rPr>
        <w:t>万人，增加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0.94</w:t>
      </w:r>
      <w:r>
        <w:rPr>
          <w:rFonts w:hint="eastAsia" w:ascii="仿宋_GB2312" w:eastAsia="仿宋_GB2312"/>
          <w:color w:val="auto"/>
          <w:sz w:val="32"/>
          <w:szCs w:val="32"/>
        </w:rPr>
        <w:t>万人。全年出生人口0.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color w:val="auto"/>
          <w:sz w:val="32"/>
          <w:szCs w:val="32"/>
        </w:rPr>
        <w:t>万人，出生率为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6.84</w:t>
      </w:r>
      <w:r>
        <w:rPr>
          <w:rFonts w:hint="eastAsia" w:ascii="仿宋_GB2312" w:eastAsia="仿宋_GB2312"/>
          <w:color w:val="auto"/>
          <w:sz w:val="32"/>
          <w:szCs w:val="32"/>
        </w:rPr>
        <w:t>‰；死亡人口0.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32"/>
          <w:szCs w:val="32"/>
        </w:rPr>
        <w:t>万人，死亡率为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7.29</w:t>
      </w:r>
      <w:r>
        <w:rPr>
          <w:rFonts w:hint="eastAsia" w:ascii="仿宋_GB2312" w:eastAsia="仿宋_GB2312"/>
          <w:color w:val="auto"/>
          <w:sz w:val="32"/>
          <w:szCs w:val="32"/>
        </w:rPr>
        <w:t>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全年完成一般公共预算总收入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184.57</w:t>
      </w:r>
      <w:r>
        <w:rPr>
          <w:rFonts w:hint="eastAsia" w:ascii="仿宋_GB2312" w:eastAsia="仿宋_GB2312"/>
          <w:color w:val="auto"/>
          <w:sz w:val="32"/>
          <w:szCs w:val="32"/>
        </w:rPr>
        <w:t>亿元，比上年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6.7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地方一般公共预算收入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104.38亿</w:t>
      </w:r>
      <w:r>
        <w:rPr>
          <w:rFonts w:hint="eastAsia" w:ascii="仿宋_GB2312" w:eastAsia="仿宋_GB2312"/>
          <w:color w:val="auto"/>
          <w:sz w:val="32"/>
          <w:szCs w:val="32"/>
        </w:rPr>
        <w:t>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6.2%</w:t>
      </w:r>
      <w:r>
        <w:rPr>
          <w:rFonts w:hint="eastAsia" w:ascii="仿宋_GB2312" w:eastAsia="仿宋_GB2312"/>
          <w:color w:val="auto"/>
          <w:sz w:val="32"/>
          <w:szCs w:val="32"/>
        </w:rPr>
        <w:t>。财政一般预算支出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91.04</w:t>
      </w:r>
      <w:r>
        <w:rPr>
          <w:rFonts w:hint="eastAsia" w:ascii="仿宋_GB2312" w:eastAsia="仿宋_GB2312"/>
          <w:color w:val="auto"/>
          <w:sz w:val="32"/>
          <w:szCs w:val="32"/>
        </w:rPr>
        <w:t>亿元，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下降10.6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年末全区</w:t>
      </w:r>
      <w:r>
        <w:rPr>
          <w:rFonts w:hint="eastAsia" w:ascii="仿宋_GB2312" w:eastAsia="仿宋_GB2312"/>
          <w:color w:val="auto"/>
          <w:sz w:val="32"/>
          <w:szCs w:val="32"/>
        </w:rPr>
        <w:t>市场主体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15.66</w:t>
      </w:r>
      <w:r>
        <w:rPr>
          <w:rFonts w:hint="eastAsia" w:ascii="仿宋_GB2312" w:eastAsia="仿宋_GB2312"/>
          <w:color w:val="auto"/>
          <w:sz w:val="32"/>
          <w:szCs w:val="32"/>
        </w:rPr>
        <w:t>万户，比上年增长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18.1</w:t>
      </w:r>
      <w:r>
        <w:rPr>
          <w:rFonts w:hint="eastAsia" w:ascii="仿宋_GB2312" w:eastAsia="仿宋_GB2312"/>
          <w:color w:val="auto"/>
          <w:sz w:val="32"/>
          <w:szCs w:val="32"/>
        </w:rPr>
        <w:t>%。其中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个体工商户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9.04</w:t>
      </w:r>
      <w:r>
        <w:rPr>
          <w:rFonts w:hint="eastAsia" w:ascii="仿宋_GB2312" w:eastAsia="仿宋_GB2312"/>
          <w:color w:val="auto"/>
          <w:sz w:val="32"/>
          <w:szCs w:val="32"/>
        </w:rPr>
        <w:t>万户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，内资企业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6.55万户，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外资企业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0.07万户，农民专业合作社8户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截至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2022年12月，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全区共有“四上”企业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875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户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其中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规模以上工业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户，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有资质的建筑业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92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户，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限额以上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批发零售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住宿餐饮业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304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户，规模以上服务业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325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户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，房地产开发经营业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131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户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二、工业和建筑业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全年完成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规模以上工业增加值105.74亿元，比上年增长0.2%。其中，制造业增加值5.53亿元，下降12.7%；电力、热力、燃气及水生产和供应业增加值100.21亿元，增长1.3%。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全年完成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规模以上工业总产值449.68亿元，比上年增长24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.0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%。其中，有色金属冶炼和压延加工业增长105.9%，电力、热力生产和供应业增长27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.0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%，橡胶和塑料制品业增长13.9%，医药制造业增长12.7%。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全年规模以上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高新制造业完成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工业总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产值14.96亿元，比上年下降7.4%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全年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有总承包和专业承包资质的建筑业企业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完成建筑业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总产值950.82亿元，比上年增长11.5%。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三、固定资产投资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全社会固定资产投资比上年增长24.5%。按产业分，第二产业投资下降25.0%；第三产业投资增长27.1%。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500万元以上城镇投资项目176个，完成投资161.23亿元，比上年增长13.6%，占全区固定资产投资比重为30.9%；房地产开发投资项目97个，完成投资361.27亿元，增长30.0%，占全区固定资产投资比重为69.1%。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四、市场消费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全年完成社会消费品零售总额548.81亿元，比上年增长2.4%。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限额以上批发业完成销售额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1153.83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%；限额以上零售业完成销售额150.63亿元，下降2.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%；限额以上住宿业完成营业额3.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亿元，下降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%；限额以上餐饮业完成营业额48.12亿元，下降2.5%。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五、对外经济和招商引资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全年</w:t>
      </w:r>
      <w:r>
        <w:rPr>
          <w:rFonts w:hint="eastAsia" w:ascii="仿宋_GB2312" w:eastAsia="仿宋_GB2312"/>
          <w:color w:val="auto"/>
          <w:sz w:val="32"/>
          <w:szCs w:val="32"/>
        </w:rPr>
        <w:t>招商引资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实际到位资金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1030.90</w:t>
      </w:r>
      <w:r>
        <w:rPr>
          <w:rFonts w:hint="eastAsia" w:ascii="仿宋_GB2312" w:eastAsia="仿宋_GB2312"/>
          <w:color w:val="auto"/>
          <w:sz w:val="32"/>
          <w:szCs w:val="32"/>
        </w:rPr>
        <w:t>亿元，比上年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37.2</w:t>
      </w:r>
      <w:r>
        <w:rPr>
          <w:rFonts w:hint="eastAsia" w:ascii="仿宋_GB2312" w:eastAsia="仿宋_GB2312"/>
          <w:color w:val="auto"/>
          <w:sz w:val="32"/>
          <w:szCs w:val="32"/>
        </w:rPr>
        <w:t>%。实际利用外资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43964</w:t>
      </w:r>
      <w:r>
        <w:rPr>
          <w:rFonts w:hint="eastAsia" w:ascii="仿宋_GB2312" w:eastAsia="仿宋_GB2312"/>
          <w:color w:val="auto"/>
          <w:sz w:val="32"/>
          <w:szCs w:val="32"/>
        </w:rPr>
        <w:t>万美元，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7.1</w:t>
      </w:r>
      <w:r>
        <w:rPr>
          <w:rFonts w:hint="eastAsia" w:ascii="仿宋_GB2312" w:eastAsia="仿宋_GB2312"/>
          <w:color w:val="auto"/>
          <w:sz w:val="32"/>
          <w:szCs w:val="32"/>
        </w:rPr>
        <w:t>%。外贸出口创汇额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136654.94</w:t>
      </w:r>
      <w:r>
        <w:rPr>
          <w:rFonts w:hint="eastAsia" w:ascii="仿宋_GB2312" w:eastAsia="仿宋_GB2312"/>
          <w:color w:val="auto"/>
          <w:sz w:val="32"/>
          <w:szCs w:val="32"/>
        </w:rPr>
        <w:t>万美元，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增长11.4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六、城市建设和环境保护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进行背街小巷道路改造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22个社区，改造面积39638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平方米，投入资金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万元；新、改、扩建市政道路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排水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12条，面积158428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平方米，投入资金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37822.6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全年环境空气细颗粒物（PM2.5）和可吸入颗粒物（PM10）年均浓度值分别为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微克/立方米和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微克/立方米。全年植树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1.038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万株，新增绿地面积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万平方米，人均公园绿地面积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平方米/人，绿地率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42.16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%，绿化覆盖率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46.64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七、教育和科学技术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全区共有幼儿园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所，在园幼儿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28772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所，在校学生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67724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3788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人；中学3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所，在校学生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37942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人；职业中专5所，在校学生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8286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人；辅读学校1所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人，专任教师1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全区教育基本建设资金总投入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2456.51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万元，新建（在建）中小学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个，扩建中小学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个，新、扩建竣工面积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42281.56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平方米，新、扩建投入金额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2406.51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万元；中小学危房改造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平方米，投入金额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全区高新技术企业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580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家，科技型中小企业入库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523家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，技术合同成交额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27.02亿元，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年度专利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授权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量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3708件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，科技企业孵化器国家级2家、省级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家、市级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家，众创空间国家级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家、省级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家、市级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科技创新平台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国家级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20家、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市级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，技术转移示范机构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4家、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市级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，中试平台（基地）备案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2家、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市级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八、文化、体育和卫生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全区共有文化（站）室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图书馆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1所，网吧62家，电子游戏（艺）室3家，歌舞厅、卡拉OK厅17家。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全年开展大型群众性体育活动13次，参与人数1万余人次，横渡长江人数91人次，社区体育健身路径430套，社区体育健身路径完好率98%，业余体校1所。游泳池36家，健身场馆126家。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全区共有医疗卫生机构1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个，床位数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个；各类卫生技术人员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执业医师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执业助理医师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执业护士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药剂人员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其他卫计人员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人。全年门诊人数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43.49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急诊人数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4.30万人，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入院人数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人，出院人数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九、人民生活和社会保障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年，人均生活消费支出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43384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元/人年，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下降7.2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％。每百户家庭拥有家用汽车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辆，助力车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辆，洗衣机10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台，电冰箱（柜）10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台，彩色电视机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台，空调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199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套，热水器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架，移动电话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238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部，计算机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台。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全年城镇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累计新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就业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26732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人，下岗失业人员再就业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5692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人，其中困难群体再就业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2909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就业再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就业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培训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717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城镇登记失业率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2.47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%。全年民政事业支出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44848.8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万元，城市最低保障金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7488.3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万元；享受城市居民最低生活保障户数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4314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户，享受城市居民最低生活保障人数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5770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人，享受困难救济户（临救）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717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户。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C45AC"/>
    <w:rsid w:val="020B5B51"/>
    <w:rsid w:val="04EB5301"/>
    <w:rsid w:val="05BE4981"/>
    <w:rsid w:val="088C597F"/>
    <w:rsid w:val="0AFD00B7"/>
    <w:rsid w:val="0B9030CF"/>
    <w:rsid w:val="0F2716A1"/>
    <w:rsid w:val="0FC15A65"/>
    <w:rsid w:val="1304698B"/>
    <w:rsid w:val="17010989"/>
    <w:rsid w:val="1DE16B97"/>
    <w:rsid w:val="1E057CEE"/>
    <w:rsid w:val="1E167D18"/>
    <w:rsid w:val="2118320D"/>
    <w:rsid w:val="212C1416"/>
    <w:rsid w:val="22C4402B"/>
    <w:rsid w:val="238058B2"/>
    <w:rsid w:val="246C061E"/>
    <w:rsid w:val="2585406A"/>
    <w:rsid w:val="26A15EA9"/>
    <w:rsid w:val="27685CD8"/>
    <w:rsid w:val="299A3ADF"/>
    <w:rsid w:val="2B966D53"/>
    <w:rsid w:val="2F8506B3"/>
    <w:rsid w:val="31437C8D"/>
    <w:rsid w:val="32A34275"/>
    <w:rsid w:val="33545D05"/>
    <w:rsid w:val="347059AE"/>
    <w:rsid w:val="35932E3B"/>
    <w:rsid w:val="366F75EB"/>
    <w:rsid w:val="36DF5F5A"/>
    <w:rsid w:val="37943D29"/>
    <w:rsid w:val="38D610CA"/>
    <w:rsid w:val="3C605B3D"/>
    <w:rsid w:val="3CFDF42B"/>
    <w:rsid w:val="3DAB42F6"/>
    <w:rsid w:val="3DFE8311"/>
    <w:rsid w:val="426F6148"/>
    <w:rsid w:val="44392A5C"/>
    <w:rsid w:val="44996BB2"/>
    <w:rsid w:val="45017D0D"/>
    <w:rsid w:val="453A08C9"/>
    <w:rsid w:val="456339A1"/>
    <w:rsid w:val="48E963CE"/>
    <w:rsid w:val="4B0F67D0"/>
    <w:rsid w:val="4C4A2F26"/>
    <w:rsid w:val="4D1D5F02"/>
    <w:rsid w:val="4D7200B9"/>
    <w:rsid w:val="4F79372E"/>
    <w:rsid w:val="54896CBD"/>
    <w:rsid w:val="54EC5EEA"/>
    <w:rsid w:val="59DFC6F5"/>
    <w:rsid w:val="5B6344C3"/>
    <w:rsid w:val="5DF63ABB"/>
    <w:rsid w:val="622E46B1"/>
    <w:rsid w:val="62AF19EF"/>
    <w:rsid w:val="644C45AC"/>
    <w:rsid w:val="64B03CE3"/>
    <w:rsid w:val="65411254"/>
    <w:rsid w:val="67244BF6"/>
    <w:rsid w:val="67F9388F"/>
    <w:rsid w:val="68A631A9"/>
    <w:rsid w:val="690706B9"/>
    <w:rsid w:val="69413646"/>
    <w:rsid w:val="69D07415"/>
    <w:rsid w:val="6A0A7A7B"/>
    <w:rsid w:val="6A830CE6"/>
    <w:rsid w:val="6C1B24CE"/>
    <w:rsid w:val="6C7E5047"/>
    <w:rsid w:val="6C875AFF"/>
    <w:rsid w:val="6FA0700C"/>
    <w:rsid w:val="6FBD7751"/>
    <w:rsid w:val="6FF30CD1"/>
    <w:rsid w:val="71AD4875"/>
    <w:rsid w:val="72A02FC7"/>
    <w:rsid w:val="737A7741"/>
    <w:rsid w:val="73BC2554"/>
    <w:rsid w:val="76E272F5"/>
    <w:rsid w:val="79337238"/>
    <w:rsid w:val="7D7EC26D"/>
    <w:rsid w:val="7E74362E"/>
    <w:rsid w:val="7FA37A8C"/>
    <w:rsid w:val="7FA7A89E"/>
    <w:rsid w:val="7FBB9546"/>
    <w:rsid w:val="A3F6EE1C"/>
    <w:rsid w:val="BDBA8944"/>
    <w:rsid w:val="BEC9F8C0"/>
    <w:rsid w:val="BFFEA007"/>
    <w:rsid w:val="D9D48ACE"/>
    <w:rsid w:val="DEB393C9"/>
    <w:rsid w:val="DFAA703E"/>
    <w:rsid w:val="EA1FE6FB"/>
    <w:rsid w:val="FCFFB38A"/>
    <w:rsid w:val="FF3E94E8"/>
    <w:rsid w:val="FFFF0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7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2020-09-21T23:45:00Z</dcterms:created>
  <dc:creator>JINGFENG</dc:creator>
  <cp:lastModifiedBy>user</cp:lastModifiedBy>
  <dcterms:modified xsi:type="dcterms:W3CDTF">2023-11-01T14:45:57Z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A42601F69CC647B7BFD240D6C5A2548C</vt:lpwstr>
  </property>
</Properties>
</file>