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江岸区20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年国民经济和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社会发展统计公报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70" w:lineRule="exact"/>
        <w:ind w:left="0" w:firstLine="440" w:firstLineChars="200"/>
        <w:jc w:val="both"/>
        <w:textAlignment w:val="auto"/>
        <w:rPr>
          <w:rFonts w:hint="eastAsia" w:ascii="仿宋_GB2312" w:eastAsia="仿宋_GB2312"/>
          <w:sz w:val="22"/>
          <w:szCs w:val="2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2023年是全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面贯彻党的二十大精神的开局之年，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全区上下坚持以习近平新时代中国特色社会主义思想为指导，认真落实区委、区政府工作要求，坚持稳中求进工作总基调，积极应对国内外宏观经济变化，统筹做好稳增长、防风险和惠民生等各项工作，全区经济稳步增长，高质量发展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shd w:val="clear" w:color="auto" w:fill="FFFFFF"/>
        </w:rPr>
        <w:t>一、综合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eastAsia="仿宋_GB2312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全年完成地区生产总值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1627.28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亿元，比上年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7.1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%。其中，第二产业增加值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271.23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增长6.6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%；第三产业增加值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1356.05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增长7.2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%。第二产业增加值占地区生产总值比重为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16.7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%；第三产业增加值比重为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83.3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常住人口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105.12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万人。户籍人口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82.58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0.36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万人。全年出生人口0.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万人，出生率为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6.91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‰；死亡人口0.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万人，死亡率为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全年完成一般公共预算总收入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199.06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地方一般公共预算收入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117.24亿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12.3%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。财政一般预算支出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87.72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下降3.64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年末全区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市场主体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15.6617.57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万户，比上年增长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个体工商户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10.08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，内资企业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7.42万户，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外资企业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0.07万户，农民专业合作社6户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截至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2023年12月，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全区共有“四上”企业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1251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规模以上工业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有资质的建筑业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102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限额以上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批发零售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住宿餐饮业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411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户，规模以上服务业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442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，房地产开发经营业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"/>
        </w:rPr>
        <w:t>124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二、工业和建筑业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全年完成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规模以上工业增加值105.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84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5.7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%。其中，制造业增加值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5.37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亿元，下降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5.9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%；电力、热力、燃气及水生产和供应业增加值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100.47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亿元，增长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全年完成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规模以上工业总产值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448.34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亿元，比上年增长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6.2</w:t>
      </w:r>
      <w:r>
        <w:rPr>
          <w:rFonts w:hint="default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%。其中，</w:t>
      </w:r>
      <w:r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有色金属冶炼和压延加工业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下降75.8</w:t>
      </w:r>
      <w:r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%，电力、热力生产和供应业增长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%，橡胶和塑料制品业增长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</w:t>
      </w:r>
      <w:r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%，医药制造业</w:t>
      </w:r>
      <w:r>
        <w:rPr>
          <w:rFonts w:hint="eastAsia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下降91.1</w:t>
      </w:r>
      <w:r>
        <w:rPr>
          <w:rFonts w:hint="default" w:ascii="仿宋_GB2312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全年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有总承包和专业承包资质的建筑业企业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完成建筑业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总产值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1053.84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亿元，比上年增长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11.2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三、固定资产投资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全年全社会固定资产投资比上年下降5.8%。按产业分，第二产业投资增长20.4%；第三产业投资下降6.7%。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全年500万元以上城镇投资项目168个，完成投资134.77亿元，比上年下降16.4%，占全区固定资产投资比重为27.4%；房地产开发投资项目106个，完成投资357.21亿元，下降1.1%，占全区固定资产投资比重为72.6%。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四、市场消费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全年完成社会消费品零售总额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779.52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限额以上批发业完成销售额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1624.66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36.1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%；限额以上零售业完成销售额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192.11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%；限额以上住宿业完成营业额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47.0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%；限额以上餐饮业完成营业额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61.30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城市建设和环境保护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进行背街小巷道路改造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10个社区，改造面积23577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平方米，投入资金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万元；新、改、扩建市政道路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排水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14条，面积108823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平方米，投入资金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33090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全年环境空气细颗粒物（PM2.5）和可吸入颗粒物（PM10）年均浓度值分别为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微克/立方米。全年植树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万株，新增绿地面积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万平方米，人均公园绿地面积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平方米/人，绿地率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%，绿化覆盖率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、教育和科学技术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所，在园幼儿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27178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72055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人；中学3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39994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人；职业中专5所，在校学生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人；辅读学校1所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全区教育基本建设资金总投入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18356.73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万元，新建（在建）中小学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个，扩建中小学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个，新、扩建竣工面积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32346.83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平方米，新、扩建投入金额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18258.73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万元；中小学危房改造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平方米，投入金额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全区高新技术企业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652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家，科技型中小企业入库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751家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，技术合同成交额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55亿元，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年度专利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量4019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，科技企业孵化器国家级2家、省级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家，众创空间国家级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家，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科技创新平台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国家级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27家、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，技术转移示范机构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4家、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市级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，中试平台（基地）备案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lang w:val="en-US" w:eastAsia="zh-CN"/>
        </w:rPr>
        <w:t>7家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、文化、体育和卫生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全区共有文化（站）室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23所，网吧60家，游艺娱乐场所3家，歌舞娱乐场所18家。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全年开展大型群众性体育活动15次，参与人数1万余人次，横渡长江人数66人次，社区体育健身路径447套，社区体育健身路径完好率98%，业余体校1所。游泳池17家，健身场馆41家。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全区共有医疗卫生机构1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个，床位数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个；各类卫生技术人员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执业助理医师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执业护士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药剂人员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人。全年门诊人数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急诊人数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6.25万人，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人，出院人数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、人民生活和社会保障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城镇常住居民人均可支配收入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71617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元/人年，比上年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增长6.0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%；人均生活消费支出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46073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元/人年，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增长0.1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％。每百户家庭拥有家用汽车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辆，助力车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辆，洗衣机10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台，电冰箱（柜）10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台，彩色电视机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台，空调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套，热水器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架，移动电话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部，计算机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全年城镇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累计新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27307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人，下岗失业人员再就业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6242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人，其中困难群体再就业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3246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就业再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培训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3536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城镇登记失业率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%。全年民政事业支出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19532.7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万元，城市最低保障金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6811.2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万元；享受城市居民最低生活保障户数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3907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户，享受城市居民最低生活保障人数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5348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人，享受困难救济户（临救）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1771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户。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altName w:val="Noto Sans CJK SC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45AC"/>
    <w:rsid w:val="020B5B51"/>
    <w:rsid w:val="04EB5301"/>
    <w:rsid w:val="05BE4981"/>
    <w:rsid w:val="088C597F"/>
    <w:rsid w:val="0AFD00B7"/>
    <w:rsid w:val="0B9030CF"/>
    <w:rsid w:val="0F2716A1"/>
    <w:rsid w:val="0FC15A65"/>
    <w:rsid w:val="1304698B"/>
    <w:rsid w:val="17010989"/>
    <w:rsid w:val="1DE16B97"/>
    <w:rsid w:val="1E057CEE"/>
    <w:rsid w:val="1E167D18"/>
    <w:rsid w:val="2118320D"/>
    <w:rsid w:val="212C1416"/>
    <w:rsid w:val="22C4402B"/>
    <w:rsid w:val="238058B2"/>
    <w:rsid w:val="246C061E"/>
    <w:rsid w:val="2585406A"/>
    <w:rsid w:val="26A15EA9"/>
    <w:rsid w:val="27685CD8"/>
    <w:rsid w:val="299A3ADF"/>
    <w:rsid w:val="2B966D53"/>
    <w:rsid w:val="2F8506B3"/>
    <w:rsid w:val="31437C8D"/>
    <w:rsid w:val="32A34275"/>
    <w:rsid w:val="33545D05"/>
    <w:rsid w:val="347059AE"/>
    <w:rsid w:val="35932E3B"/>
    <w:rsid w:val="366F75EB"/>
    <w:rsid w:val="36DF5F5A"/>
    <w:rsid w:val="37943D29"/>
    <w:rsid w:val="38D610CA"/>
    <w:rsid w:val="3AFD563A"/>
    <w:rsid w:val="3B6F2D28"/>
    <w:rsid w:val="3C605B3D"/>
    <w:rsid w:val="3CFDF42B"/>
    <w:rsid w:val="3DAB42F6"/>
    <w:rsid w:val="3DFB9359"/>
    <w:rsid w:val="3DFE8311"/>
    <w:rsid w:val="3F6718DC"/>
    <w:rsid w:val="3FB5C142"/>
    <w:rsid w:val="3FFF840D"/>
    <w:rsid w:val="426F6148"/>
    <w:rsid w:val="44392A5C"/>
    <w:rsid w:val="44996BB2"/>
    <w:rsid w:val="45017D0D"/>
    <w:rsid w:val="453A08C9"/>
    <w:rsid w:val="456339A1"/>
    <w:rsid w:val="48E963CE"/>
    <w:rsid w:val="4B0F67D0"/>
    <w:rsid w:val="4C4A2F26"/>
    <w:rsid w:val="4D1D5F02"/>
    <w:rsid w:val="4D7200B9"/>
    <w:rsid w:val="4F79372E"/>
    <w:rsid w:val="54896CBD"/>
    <w:rsid w:val="54EC5EEA"/>
    <w:rsid w:val="56F7C3E8"/>
    <w:rsid w:val="59DFC6F5"/>
    <w:rsid w:val="59F96020"/>
    <w:rsid w:val="5B6344C3"/>
    <w:rsid w:val="5BEF02B7"/>
    <w:rsid w:val="5DF63ABB"/>
    <w:rsid w:val="5FD222B1"/>
    <w:rsid w:val="622E46B1"/>
    <w:rsid w:val="62AF19EF"/>
    <w:rsid w:val="644C45AC"/>
    <w:rsid w:val="64B03CE3"/>
    <w:rsid w:val="65411254"/>
    <w:rsid w:val="67244BF6"/>
    <w:rsid w:val="67F9388F"/>
    <w:rsid w:val="68A631A9"/>
    <w:rsid w:val="690706B9"/>
    <w:rsid w:val="69413646"/>
    <w:rsid w:val="69D07415"/>
    <w:rsid w:val="6A0A7A7B"/>
    <w:rsid w:val="6A830CE6"/>
    <w:rsid w:val="6C1B24CE"/>
    <w:rsid w:val="6C7E5047"/>
    <w:rsid w:val="6C875AFF"/>
    <w:rsid w:val="6F364E85"/>
    <w:rsid w:val="6FA0700C"/>
    <w:rsid w:val="6FBD7751"/>
    <w:rsid w:val="6FF30CD1"/>
    <w:rsid w:val="71AD4875"/>
    <w:rsid w:val="72A02FC7"/>
    <w:rsid w:val="737A7741"/>
    <w:rsid w:val="73BC2554"/>
    <w:rsid w:val="76E272F5"/>
    <w:rsid w:val="79337238"/>
    <w:rsid w:val="7AD7B80C"/>
    <w:rsid w:val="7B277A96"/>
    <w:rsid w:val="7BFB741F"/>
    <w:rsid w:val="7D76C5FF"/>
    <w:rsid w:val="7D7EC26D"/>
    <w:rsid w:val="7DFBE17B"/>
    <w:rsid w:val="7E74362E"/>
    <w:rsid w:val="7FA37A8C"/>
    <w:rsid w:val="7FA7A89E"/>
    <w:rsid w:val="7FBB9546"/>
    <w:rsid w:val="7FBF6C9C"/>
    <w:rsid w:val="7FFFFC4C"/>
    <w:rsid w:val="93FF3FD8"/>
    <w:rsid w:val="9B7B562E"/>
    <w:rsid w:val="A3F6EE1C"/>
    <w:rsid w:val="AFFFB975"/>
    <w:rsid w:val="B6FFDA9A"/>
    <w:rsid w:val="BDBA8944"/>
    <w:rsid w:val="BEC9F8C0"/>
    <w:rsid w:val="BFFEA007"/>
    <w:rsid w:val="CEFBDE60"/>
    <w:rsid w:val="D73DD2A7"/>
    <w:rsid w:val="D7FBD81F"/>
    <w:rsid w:val="D9D48ACE"/>
    <w:rsid w:val="DEB393C9"/>
    <w:rsid w:val="DFAA703E"/>
    <w:rsid w:val="DFCB79E8"/>
    <w:rsid w:val="F71BA649"/>
    <w:rsid w:val="FBEA1C5F"/>
    <w:rsid w:val="FBFF9A6C"/>
    <w:rsid w:val="FCFFB38A"/>
    <w:rsid w:val="FE7B56EC"/>
    <w:rsid w:val="FF3E94E8"/>
    <w:rsid w:val="FFF3CE0B"/>
    <w:rsid w:val="FFF5CC26"/>
    <w:rsid w:val="FFFA5923"/>
    <w:rsid w:val="FFFF0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7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2020-09-25T15:45:00Z</dcterms:created>
  <dc:creator>JINGFENG</dc:creator>
  <cp:lastModifiedBy>thtf</cp:lastModifiedBy>
  <cp:lastPrinted>2025-07-28T23:42:00Z</cp:lastPrinted>
  <dcterms:modified xsi:type="dcterms:W3CDTF">2025-10-29T16:49:44Z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A42601F69CC647B7BFD240D6C5A2548C</vt:lpwstr>
  </property>
</Properties>
</file>