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C61B1">
      <w:pPr>
        <w:keepNext w:val="0"/>
        <w:keepLines w:val="0"/>
        <w:pageBreakBefore w:val="0"/>
        <w:widowControl/>
        <w:kinsoku w:val="0"/>
        <w:wordWrap/>
        <w:overflowPunct/>
        <w:topLinePunct w:val="0"/>
        <w:autoSpaceDE w:val="0"/>
        <w:autoSpaceDN w:val="0"/>
        <w:bidi w:val="0"/>
        <w:adjustRightInd w:val="0"/>
        <w:snapToGrid w:val="0"/>
        <w:spacing w:line="570" w:lineRule="exact"/>
        <w:jc w:val="both"/>
        <w:textAlignment w:val="baseline"/>
        <w:rPr>
          <w:rFonts w:hint="eastAsia" w:ascii="黑体" w:hAnsi="黑体" w:eastAsia="黑体" w:cs="黑体"/>
          <w:sz w:val="32"/>
          <w:szCs w:val="32"/>
        </w:rPr>
      </w:pPr>
      <w:bookmarkStart w:id="0" w:name="_GoBack"/>
      <w:bookmarkEnd w:id="0"/>
    </w:p>
    <w:p w14:paraId="42573F92">
      <w:pPr>
        <w:keepNext w:val="0"/>
        <w:keepLines w:val="0"/>
        <w:pageBreakBefore w:val="0"/>
        <w:widowControl/>
        <w:kinsoku w:val="0"/>
        <w:wordWrap/>
        <w:overflowPunct/>
        <w:topLinePunct w:val="0"/>
        <w:autoSpaceDE w:val="0"/>
        <w:autoSpaceDN w:val="0"/>
        <w:bidi w:val="0"/>
        <w:adjustRightInd w:val="0"/>
        <w:snapToGrid w:val="0"/>
        <w:spacing w:line="57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江岸区园林局</w:t>
      </w:r>
      <w:r>
        <w:rPr>
          <w:rFonts w:hint="eastAsia" w:ascii="方正小标宋简体" w:hAnsi="方正小标宋简体" w:eastAsia="方正小标宋简体" w:cs="方正小标宋简体"/>
          <w:sz w:val="44"/>
          <w:szCs w:val="44"/>
        </w:rPr>
        <w:t>主动公开事项目录</w:t>
      </w:r>
    </w:p>
    <w:p w14:paraId="26DE89DE">
      <w:pPr>
        <w:keepNext w:val="0"/>
        <w:keepLines w:val="0"/>
        <w:pageBreakBefore w:val="0"/>
        <w:widowControl/>
        <w:kinsoku w:val="0"/>
        <w:wordWrap/>
        <w:overflowPunct/>
        <w:topLinePunct w:val="0"/>
        <w:autoSpaceDE w:val="0"/>
        <w:autoSpaceDN w:val="0"/>
        <w:bidi w:val="0"/>
        <w:adjustRightInd w:val="0"/>
        <w:snapToGrid w:val="0"/>
        <w:spacing w:line="570" w:lineRule="exact"/>
        <w:jc w:val="both"/>
        <w:textAlignment w:val="baseline"/>
        <w:rPr>
          <w:rFonts w:hint="eastAsia" w:ascii="黑体" w:hAnsi="黑体" w:eastAsia="黑体" w:cs="黑体"/>
          <w:sz w:val="32"/>
          <w:szCs w:val="32"/>
        </w:rPr>
      </w:pPr>
    </w:p>
    <w:tbl>
      <w:tblPr>
        <w:tblStyle w:val="5"/>
        <w:tblW w:w="4996" w:type="pct"/>
        <w:tblInd w:w="0" w:type="dxa"/>
        <w:shd w:val="clear" w:color="auto" w:fill="auto"/>
        <w:tblLayout w:type="autofit"/>
        <w:tblCellMar>
          <w:top w:w="0" w:type="dxa"/>
          <w:left w:w="0" w:type="dxa"/>
          <w:bottom w:w="0" w:type="dxa"/>
          <w:right w:w="0" w:type="dxa"/>
        </w:tblCellMar>
      </w:tblPr>
      <w:tblGrid>
        <w:gridCol w:w="1380"/>
        <w:gridCol w:w="1263"/>
        <w:gridCol w:w="3424"/>
        <w:gridCol w:w="6643"/>
        <w:gridCol w:w="1540"/>
      </w:tblGrid>
      <w:tr w14:paraId="5793B7AE">
        <w:tblPrEx>
          <w:tblCellMar>
            <w:top w:w="0" w:type="dxa"/>
            <w:left w:w="0" w:type="dxa"/>
            <w:bottom w:w="0" w:type="dxa"/>
            <w:right w:w="0" w:type="dxa"/>
          </w:tblCellMar>
        </w:tblPrEx>
        <w:trPr>
          <w:trHeight w:val="454" w:hRule="atLeast"/>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EBB4A">
            <w:pPr>
              <w:keepNext w:val="0"/>
              <w:keepLines w:val="0"/>
              <w:widowControl/>
              <w:suppressLineNumbers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snapToGrid w:val="0"/>
                <w:color w:val="000000"/>
                <w:kern w:val="0"/>
                <w:sz w:val="20"/>
                <w:szCs w:val="20"/>
                <w:u w:val="none"/>
                <w:lang w:val="en-US" w:eastAsia="zh-CN" w:bidi="ar"/>
              </w:rPr>
              <w:t>公开事项</w:t>
            </w:r>
          </w:p>
        </w:tc>
        <w:tc>
          <w:tcPr>
            <w:tcW w:w="12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F30B1">
            <w:pPr>
              <w:keepNext w:val="0"/>
              <w:keepLines w:val="0"/>
              <w:widowControl/>
              <w:suppressLineNumbers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snapToGrid w:val="0"/>
                <w:color w:val="000000"/>
                <w:kern w:val="0"/>
                <w:sz w:val="20"/>
                <w:szCs w:val="20"/>
                <w:u w:val="none"/>
                <w:lang w:val="en-US" w:eastAsia="zh-CN" w:bidi="ar"/>
              </w:rPr>
              <w:t>公开内容</w:t>
            </w:r>
          </w:p>
        </w:tc>
        <w:tc>
          <w:tcPr>
            <w:tcW w:w="23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76287">
            <w:pPr>
              <w:keepNext w:val="0"/>
              <w:keepLines w:val="0"/>
              <w:widowControl/>
              <w:suppressLineNumbers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snapToGrid w:val="0"/>
                <w:color w:val="000000"/>
                <w:kern w:val="0"/>
                <w:sz w:val="20"/>
                <w:szCs w:val="20"/>
                <w:u w:val="none"/>
                <w:lang w:val="en-US" w:eastAsia="zh-CN" w:bidi="ar"/>
              </w:rPr>
              <w:t>公开依据</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57A8C">
            <w:pPr>
              <w:keepNext w:val="0"/>
              <w:keepLines w:val="0"/>
              <w:widowControl/>
              <w:suppressLineNumbers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snapToGrid w:val="0"/>
                <w:color w:val="000000"/>
                <w:kern w:val="0"/>
                <w:sz w:val="20"/>
                <w:szCs w:val="20"/>
                <w:u w:val="none"/>
                <w:lang w:val="en-US" w:eastAsia="zh-CN" w:bidi="ar"/>
              </w:rPr>
              <w:t>公开范围</w:t>
            </w:r>
          </w:p>
        </w:tc>
      </w:tr>
      <w:tr w14:paraId="60068906">
        <w:tblPrEx>
          <w:tblCellMar>
            <w:top w:w="0" w:type="dxa"/>
            <w:left w:w="0" w:type="dxa"/>
            <w:bottom w:w="0" w:type="dxa"/>
            <w:right w:w="0" w:type="dxa"/>
          </w:tblCellMar>
        </w:tblPrEx>
        <w:trPr>
          <w:trHeight w:val="454"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0DDC3">
            <w:pPr>
              <w:keepNext w:val="0"/>
              <w:keepLines w:val="0"/>
              <w:widowControl/>
              <w:suppressLineNumbers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snapToGrid w:val="0"/>
                <w:color w:val="000000"/>
                <w:kern w:val="0"/>
                <w:sz w:val="20"/>
                <w:szCs w:val="20"/>
                <w:u w:val="none"/>
                <w:lang w:val="en-US" w:eastAsia="zh-CN" w:bidi="ar"/>
              </w:rPr>
              <w:t>一级事项</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67123">
            <w:pPr>
              <w:keepNext w:val="0"/>
              <w:keepLines w:val="0"/>
              <w:widowControl/>
              <w:suppressLineNumbers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snapToGrid w:val="0"/>
                <w:color w:val="000000"/>
                <w:kern w:val="0"/>
                <w:sz w:val="20"/>
                <w:szCs w:val="20"/>
                <w:u w:val="none"/>
                <w:lang w:val="en-US" w:eastAsia="zh-CN" w:bidi="ar"/>
              </w:rPr>
              <w:t>二级事项</w:t>
            </w:r>
          </w:p>
          <w:p w14:paraId="39C387E7">
            <w:pPr>
              <w:keepNext w:val="0"/>
              <w:keepLines w:val="0"/>
              <w:widowControl/>
              <w:suppressLineNumbers w:val="0"/>
              <w:jc w:val="center"/>
              <w:textAlignment w:val="center"/>
              <w:rPr>
                <w:rFonts w:hint="eastAsia" w:ascii="黑体" w:hAnsi="黑体" w:eastAsia="黑体" w:cs="黑体"/>
                <w:b w:val="0"/>
                <w:bCs/>
                <w:i w:val="0"/>
                <w:color w:val="000000"/>
                <w:sz w:val="20"/>
                <w:szCs w:val="20"/>
                <w:u w:val="none"/>
              </w:rPr>
            </w:pPr>
          </w:p>
        </w:tc>
        <w:tc>
          <w:tcPr>
            <w:tcW w:w="12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F058B">
            <w:pPr>
              <w:jc w:val="center"/>
              <w:rPr>
                <w:rFonts w:hint="eastAsia" w:ascii="黑体" w:hAnsi="黑体" w:eastAsia="黑体" w:cs="黑体"/>
                <w:b w:val="0"/>
                <w:bCs/>
                <w:i w:val="0"/>
                <w:color w:val="000000"/>
                <w:sz w:val="20"/>
                <w:szCs w:val="20"/>
                <w:u w:val="none"/>
              </w:rPr>
            </w:pPr>
          </w:p>
        </w:tc>
        <w:tc>
          <w:tcPr>
            <w:tcW w:w="23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DEF44">
            <w:pPr>
              <w:jc w:val="center"/>
              <w:rPr>
                <w:rFonts w:hint="eastAsia" w:ascii="黑体" w:hAnsi="黑体" w:eastAsia="黑体" w:cs="黑体"/>
                <w:b w:val="0"/>
                <w:bCs/>
                <w:i w:val="0"/>
                <w:color w:val="000000"/>
                <w:sz w:val="20"/>
                <w:szCs w:val="20"/>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83A27">
            <w:pPr>
              <w:jc w:val="center"/>
              <w:rPr>
                <w:rFonts w:hint="eastAsia" w:ascii="黑体" w:hAnsi="黑体" w:eastAsia="黑体" w:cs="黑体"/>
                <w:b w:val="0"/>
                <w:bCs/>
                <w:i w:val="0"/>
                <w:color w:val="000000"/>
                <w:sz w:val="20"/>
                <w:szCs w:val="20"/>
                <w:u w:val="none"/>
              </w:rPr>
            </w:pPr>
          </w:p>
        </w:tc>
      </w:tr>
      <w:tr w14:paraId="0E26D188">
        <w:tblPrEx>
          <w:tblCellMar>
            <w:top w:w="0" w:type="dxa"/>
            <w:left w:w="0" w:type="dxa"/>
            <w:bottom w:w="0" w:type="dxa"/>
            <w:right w:w="0" w:type="dxa"/>
          </w:tblCellMar>
        </w:tblPrEx>
        <w:trPr>
          <w:trHeight w:val="89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CA75B">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机关信息</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5B364">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机关简介</w:t>
            </w:r>
          </w:p>
        </w:tc>
        <w:tc>
          <w:tcPr>
            <w:tcW w:w="1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72716">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机关职能，机构设置，办公地址，办公时间，联系方式，负责人姓名</w:t>
            </w:r>
          </w:p>
        </w:tc>
        <w:tc>
          <w:tcPr>
            <w:tcW w:w="2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1B1A9">
            <w:pPr>
              <w:jc w:val="center"/>
              <w:rPr>
                <w:rFonts w:hint="eastAsia" w:ascii="黑体" w:hAnsi="黑体" w:eastAsia="黑体" w:cs="黑体"/>
                <w:b w:val="0"/>
                <w:bCs/>
                <w:i w:val="0"/>
                <w:color w:val="000000"/>
                <w:sz w:val="20"/>
                <w:szCs w:val="20"/>
                <w:u w:val="none"/>
              </w:rPr>
            </w:pPr>
            <w:r>
              <w:rPr>
                <w:rFonts w:hint="eastAsia" w:ascii="仿宋_GB2312" w:hAnsi="仿宋_GB2312" w:eastAsia="仿宋_GB2312" w:cs="仿宋_GB2312"/>
                <w:b w:val="0"/>
                <w:bCs w:val="0"/>
                <w:snapToGrid/>
                <w:spacing w:val="0"/>
                <w:position w:val="0"/>
                <w:sz w:val="18"/>
                <w:szCs w:val="18"/>
              </w:rPr>
              <w:t>中华人民共和国政府信息公开条例》国务院令第711号，第二十条第二款：机关职能、机构设置、办公地址、办公时间、联系方式、负责人姓名</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DE16E">
            <w:pPr>
              <w:jc w:val="center"/>
              <w:rPr>
                <w:rFonts w:hint="eastAsia" w:ascii="黑体" w:hAnsi="黑体" w:eastAsia="黑体" w:cs="黑体"/>
                <w:b w:val="0"/>
                <w:bCs/>
                <w:i w:val="0"/>
                <w:color w:val="000000"/>
                <w:sz w:val="20"/>
                <w:szCs w:val="20"/>
                <w:u w:val="none"/>
              </w:rPr>
            </w:pPr>
            <w:r>
              <w:rPr>
                <w:rFonts w:hint="eastAsia" w:ascii="仿宋_GB2312" w:hAnsi="仿宋_GB2312" w:eastAsia="仿宋_GB2312" w:cs="仿宋_GB2312"/>
                <w:b w:val="0"/>
                <w:bCs w:val="0"/>
                <w:snapToGrid/>
                <w:spacing w:val="0"/>
                <w:position w:val="0"/>
                <w:sz w:val="18"/>
                <w:szCs w:val="18"/>
              </w:rPr>
              <w:t>全社会</w:t>
            </w:r>
          </w:p>
        </w:tc>
      </w:tr>
      <w:tr w14:paraId="6EC88770">
        <w:tblPrEx>
          <w:shd w:val="clear" w:color="auto" w:fill="auto"/>
          <w:tblCellMar>
            <w:top w:w="0" w:type="dxa"/>
            <w:left w:w="0" w:type="dxa"/>
            <w:bottom w:w="0" w:type="dxa"/>
            <w:right w:w="0" w:type="dxa"/>
          </w:tblCellMar>
        </w:tblPrEx>
        <w:trPr>
          <w:trHeight w:val="42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2AC11">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机关信息</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7433B">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default" w:ascii="仿宋_GB2312" w:hAnsi="仿宋_GB2312" w:eastAsia="仿宋_GB2312" w:cs="仿宋_GB2312"/>
                <w:b w:val="0"/>
                <w:bCs w:val="0"/>
                <w:snapToGrid/>
                <w:spacing w:val="0"/>
                <w:position w:val="0"/>
                <w:sz w:val="18"/>
                <w:szCs w:val="18"/>
                <w:lang w:val="en-US" w:eastAsia="zh-CN"/>
              </w:rPr>
            </w:pPr>
            <w:r>
              <w:rPr>
                <w:rFonts w:hint="eastAsia" w:ascii="仿宋_GB2312" w:hAnsi="仿宋_GB2312" w:eastAsia="仿宋_GB2312" w:cs="仿宋_GB2312"/>
                <w:b w:val="0"/>
                <w:bCs w:val="0"/>
                <w:snapToGrid/>
                <w:spacing w:val="0"/>
                <w:position w:val="0"/>
                <w:sz w:val="18"/>
                <w:szCs w:val="18"/>
                <w:lang w:val="en-US" w:eastAsia="zh-CN"/>
              </w:rPr>
              <w:t>财政资金</w:t>
            </w:r>
          </w:p>
        </w:tc>
        <w:tc>
          <w:tcPr>
            <w:tcW w:w="1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E0B0A">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spacing w:val="0"/>
                <w:position w:val="0"/>
                <w:sz w:val="18"/>
                <w:szCs w:val="18"/>
                <w:lang w:val="en-US" w:eastAsia="en-US"/>
              </w:rPr>
            </w:pPr>
            <w:r>
              <w:rPr>
                <w:rFonts w:hint="eastAsia" w:ascii="仿宋_GB2312" w:hAnsi="仿宋_GB2312" w:eastAsia="仿宋_GB2312" w:cs="仿宋_GB2312"/>
                <w:b w:val="0"/>
                <w:bCs w:val="0"/>
                <w:snapToGrid/>
                <w:spacing w:val="0"/>
                <w:position w:val="0"/>
                <w:sz w:val="18"/>
                <w:szCs w:val="18"/>
              </w:rPr>
              <w:t>部门预决算及“三公”经费预决算信息</w:t>
            </w:r>
          </w:p>
        </w:tc>
        <w:tc>
          <w:tcPr>
            <w:tcW w:w="2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1D222">
            <w:pPr>
              <w:pStyle w:val="8"/>
              <w:keepNext w:val="0"/>
              <w:keepLines w:val="0"/>
              <w:pageBreakBefore w:val="0"/>
              <w:widowControl w:val="0"/>
              <w:kinsoku/>
              <w:wordWrap/>
              <w:overflowPunct/>
              <w:topLinePunct w:val="0"/>
              <w:autoSpaceDE/>
              <w:autoSpaceDN/>
              <w:bidi w:val="0"/>
              <w:adjustRightInd w:val="0"/>
              <w:snapToGrid w:val="0"/>
              <w:spacing w:line="200" w:lineRule="exact"/>
              <w:ind w:left="0" w:right="0" w:firstLine="0"/>
              <w:jc w:val="both"/>
              <w:textAlignment w:val="auto"/>
              <w:rPr>
                <w:rFonts w:hint="eastAsia" w:ascii="仿宋_GB2312" w:hAnsi="仿宋_GB2312" w:eastAsia="仿宋_GB2312" w:cs="仿宋_GB2312"/>
                <w:b w:val="0"/>
                <w:bCs w:val="0"/>
                <w:snapToGrid/>
                <w:spacing w:val="0"/>
                <w:position w:val="0"/>
                <w:sz w:val="18"/>
                <w:szCs w:val="18"/>
              </w:rPr>
            </w:pPr>
            <w:r>
              <w:rPr>
                <w:rFonts w:hint="eastAsia" w:ascii="仿宋_GB2312" w:hAnsi="仿宋_GB2312" w:eastAsia="仿宋_GB2312" w:cs="仿宋_GB2312"/>
                <w:b w:val="0"/>
                <w:bCs w:val="0"/>
                <w:snapToGrid/>
                <w:spacing w:val="0"/>
                <w:position w:val="0"/>
                <w:sz w:val="18"/>
                <w:szCs w:val="18"/>
              </w:rPr>
              <w:t>《中华人民共和国预算法》第十四条：经本级政府财政部门批复的部门预算、决算及报表，应当在批复后二十日内由各部门向社会公开，并对部门预算、决算中机关运行经费的安排、使用情况等重要事项作出说明。</w:t>
            </w:r>
          </w:p>
          <w:p w14:paraId="5424DBB5">
            <w:pPr>
              <w:pStyle w:val="8"/>
              <w:keepNext w:val="0"/>
              <w:keepLines w:val="0"/>
              <w:pageBreakBefore w:val="0"/>
              <w:widowControl w:val="0"/>
              <w:kinsoku/>
              <w:wordWrap/>
              <w:overflowPunct/>
              <w:topLinePunct w:val="0"/>
              <w:autoSpaceDE/>
              <w:autoSpaceDN/>
              <w:bidi w:val="0"/>
              <w:adjustRightInd w:val="0"/>
              <w:snapToGrid w:val="0"/>
              <w:spacing w:line="200" w:lineRule="exact"/>
              <w:ind w:left="0" w:right="0" w:firstLine="0"/>
              <w:jc w:val="both"/>
              <w:textAlignment w:val="auto"/>
              <w:rPr>
                <w:rFonts w:hint="eastAsia" w:ascii="仿宋_GB2312" w:hAnsi="仿宋_GB2312" w:eastAsia="仿宋_GB2312" w:cs="仿宋_GB2312"/>
                <w:b w:val="0"/>
                <w:bCs w:val="0"/>
                <w:snapToGrid/>
                <w:spacing w:val="0"/>
                <w:position w:val="0"/>
                <w:sz w:val="18"/>
                <w:szCs w:val="18"/>
              </w:rPr>
            </w:pPr>
            <w:r>
              <w:rPr>
                <w:rFonts w:hint="eastAsia" w:ascii="仿宋_GB2312" w:hAnsi="仿宋_GB2312" w:eastAsia="仿宋_GB2312" w:cs="仿宋_GB2312"/>
                <w:b w:val="0"/>
                <w:bCs w:val="0"/>
                <w:snapToGrid/>
                <w:spacing w:val="0"/>
                <w:position w:val="0"/>
                <w:sz w:val="18"/>
                <w:szCs w:val="18"/>
              </w:rPr>
              <w:t>《中华人民共和国政府信息公开条例》国务院令第711号，第二十条第七款：财政预算、决算信息。</w:t>
            </w:r>
          </w:p>
          <w:p w14:paraId="63BAF471">
            <w:pPr>
              <w:pStyle w:val="8"/>
              <w:keepNext w:val="0"/>
              <w:keepLines w:val="0"/>
              <w:pageBreakBefore w:val="0"/>
              <w:widowControl w:val="0"/>
              <w:kinsoku/>
              <w:wordWrap/>
              <w:overflowPunct/>
              <w:topLinePunct w:val="0"/>
              <w:autoSpaceDE/>
              <w:autoSpaceDN/>
              <w:bidi w:val="0"/>
              <w:adjustRightInd w:val="0"/>
              <w:snapToGrid w:val="0"/>
              <w:spacing w:line="200" w:lineRule="exact"/>
              <w:ind w:left="0" w:right="0" w:firstLine="0"/>
              <w:jc w:val="both"/>
              <w:textAlignment w:val="auto"/>
              <w:rPr>
                <w:rFonts w:hint="eastAsia" w:ascii="仿宋_GB2312" w:hAnsi="仿宋_GB2312" w:eastAsia="仿宋_GB2312" w:cs="仿宋_GB2312"/>
                <w:b w:val="0"/>
                <w:bCs w:val="0"/>
                <w:snapToGrid/>
                <w:spacing w:val="0"/>
                <w:position w:val="0"/>
                <w:sz w:val="18"/>
                <w:szCs w:val="18"/>
              </w:rPr>
            </w:pPr>
            <w:r>
              <w:rPr>
                <w:rFonts w:hint="eastAsia" w:ascii="仿宋_GB2312" w:hAnsi="仿宋_GB2312" w:eastAsia="仿宋_GB2312" w:cs="仿宋_GB2312"/>
                <w:b w:val="0"/>
                <w:bCs w:val="0"/>
                <w:snapToGrid/>
                <w:spacing w:val="0"/>
                <w:position w:val="0"/>
                <w:sz w:val="18"/>
                <w:szCs w:val="18"/>
              </w:rPr>
              <w:t>《财政部关于印发财政预决算领域基层政务公开标准指引的通知》财办发〔2019〕77号：收支总体情况表：部门收支总体情况表，部门收入总体情况表，部门支出总体情况表；财政拨款收支情况表：财政拨款收支总体情况表，一般公共预算支出情况表，一般公共预算基本支出情况表，一般公共预算“三公”经费支出情况表，政府性基金预算支出情况表；一般公共预算支出情况表公开到功能分类项级科目。一般公共预算基本支出表公开到经济分类款级科目；一般公共预算“三公”经费支出表按“因公出国(境)费”“公务用车购置及运行费”“公务接待费”公开，其中，“公务用车购置及运行费”应当细化到“公务用车购置费”“公务用车运行费”两个项目，并对增减变化情况进行说明。本部门职责、机构设置情况、预算收支增减变化、机关运行经费安排以及政府采购(主要包括部门政府采购预算总金额和货物、工程、服务采购的预算金额)等情</w:t>
            </w:r>
          </w:p>
          <w:p w14:paraId="5F48B290">
            <w:pPr>
              <w:pStyle w:val="8"/>
              <w:keepNext w:val="0"/>
              <w:keepLines w:val="0"/>
              <w:pageBreakBefore w:val="0"/>
              <w:widowControl w:val="0"/>
              <w:kinsoku/>
              <w:wordWrap/>
              <w:overflowPunct/>
              <w:topLinePunct w:val="0"/>
              <w:autoSpaceDE/>
              <w:autoSpaceDN/>
              <w:bidi w:val="0"/>
              <w:adjustRightInd w:val="0"/>
              <w:snapToGrid w:val="0"/>
              <w:spacing w:line="188" w:lineRule="exact"/>
              <w:ind w:left="0" w:leftChars="0" w:right="0" w:rightChars="0" w:firstLine="0" w:firstLineChars="0"/>
              <w:jc w:val="both"/>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况的说明，并对专业性较强的名词进行解释。结合工作开展情况，逐步公开国有资产占用、重点项目预算的绩效目标等情况。没有数据的表格应当列出空表并说明。</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C4688">
            <w:pPr>
              <w:jc w:val="center"/>
              <w:rPr>
                <w:rFonts w:hint="eastAsia" w:ascii="黑体" w:hAnsi="黑体" w:eastAsia="黑体" w:cs="黑体"/>
                <w:b w:val="0"/>
                <w:bCs/>
                <w:i w:val="0"/>
                <w:color w:val="000000"/>
                <w:sz w:val="20"/>
                <w:szCs w:val="20"/>
                <w:u w:val="none"/>
              </w:rPr>
            </w:pPr>
            <w:r>
              <w:rPr>
                <w:rFonts w:hint="eastAsia" w:ascii="仿宋_GB2312" w:hAnsi="仿宋_GB2312" w:eastAsia="仿宋_GB2312" w:cs="仿宋_GB2312"/>
                <w:b w:val="0"/>
                <w:bCs w:val="0"/>
                <w:snapToGrid/>
                <w:spacing w:val="0"/>
                <w:position w:val="0"/>
                <w:sz w:val="18"/>
                <w:szCs w:val="18"/>
              </w:rPr>
              <w:t>全社会</w:t>
            </w:r>
          </w:p>
        </w:tc>
      </w:tr>
      <w:tr w14:paraId="515CC863">
        <w:tblPrEx>
          <w:tblCellMar>
            <w:top w:w="0" w:type="dxa"/>
            <w:left w:w="0" w:type="dxa"/>
            <w:bottom w:w="0" w:type="dxa"/>
            <w:right w:w="0" w:type="dxa"/>
          </w:tblCellMar>
        </w:tblPrEx>
        <w:trPr>
          <w:trHeight w:val="42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9C776">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机关信息</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74C79">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政府信息公开指南</w:t>
            </w:r>
          </w:p>
        </w:tc>
        <w:tc>
          <w:tcPr>
            <w:tcW w:w="1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55D92">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政府信息的分类、编排体系、获取方式，政府信息公开工作机构名称、办公地址、办公时间、联系电话、传真号码、互联网联系方式</w:t>
            </w:r>
          </w:p>
        </w:tc>
        <w:tc>
          <w:tcPr>
            <w:tcW w:w="2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5E913">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中华人民共和国政府信息公开条例》国务院令第711号，第十二条：行政机关编制、公布的政府信息公开指南和政府信息公开目录应当及时更新。政府信息公开指南包括政府信息的分类、编排体系、获取方式和政府信息公开工作机构的名称、办公地址、办公时间、联系电话、传真号码、互联网联系方式等内容。</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4381A">
            <w:pPr>
              <w:jc w:val="center"/>
              <w:rPr>
                <w:rFonts w:hint="eastAsia" w:ascii="黑体" w:hAnsi="黑体" w:eastAsia="黑体" w:cs="黑体"/>
                <w:b w:val="0"/>
                <w:bCs/>
                <w:i w:val="0"/>
                <w:snapToGrid w:val="0"/>
                <w:color w:val="000000"/>
                <w:kern w:val="0"/>
                <w:sz w:val="20"/>
                <w:szCs w:val="20"/>
                <w:u w:val="none"/>
                <w:lang w:val="en-US" w:eastAsia="en-US" w:bidi="ar-SA"/>
              </w:rPr>
            </w:pPr>
            <w:r>
              <w:rPr>
                <w:rFonts w:hint="eastAsia" w:ascii="仿宋_GB2312" w:hAnsi="仿宋_GB2312" w:eastAsia="仿宋_GB2312" w:cs="仿宋_GB2312"/>
                <w:b w:val="0"/>
                <w:bCs w:val="0"/>
                <w:snapToGrid/>
                <w:spacing w:val="0"/>
                <w:position w:val="0"/>
                <w:sz w:val="18"/>
                <w:szCs w:val="18"/>
              </w:rPr>
              <w:t>全社会</w:t>
            </w:r>
          </w:p>
        </w:tc>
      </w:tr>
      <w:tr w14:paraId="71778D05">
        <w:tblPrEx>
          <w:tblCellMar>
            <w:top w:w="0" w:type="dxa"/>
            <w:left w:w="0" w:type="dxa"/>
            <w:bottom w:w="0" w:type="dxa"/>
            <w:right w:w="0" w:type="dxa"/>
          </w:tblCellMar>
        </w:tblPrEx>
        <w:trPr>
          <w:trHeight w:val="42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FEE93">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机关信息</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25DE2">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政府信息公开工作年度报告</w:t>
            </w:r>
          </w:p>
        </w:tc>
        <w:tc>
          <w:tcPr>
            <w:tcW w:w="1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C1670">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行政机关主动公开政府信息的情况，收到和处理政府信息公开申请的情况，因政府信息公开工作被申请行政复议、提起行政诉讼的情况，政府信息公开工作存在的主要问题及改进情况，工作考核、社会评议和责任追究结果情况，其他需要报告的事项</w:t>
            </w:r>
          </w:p>
        </w:tc>
        <w:tc>
          <w:tcPr>
            <w:tcW w:w="2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84FC6">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中华人民共和国政府信息公开条例》国务院令第711号，第四十九条：县级以上人民政府部门应当在每年1月31日前向本级政府信息公开工作主管部门提交本行政机关上一年度政府信息公开工作年度报告并向社会公布。县级以上地方人民政府的政府信息公开工作主管部门应当在每年3月31日前向社会公布本级政府上一年度政府信息公开工作年度报告。第五十条：政府信息公开工作年度报告应当包括下列内容：行政机关主动公开政府信息的情况，收到和处理政府信息公开申请的情况，因政府信息公开工作被申请行政复议、提起行政诉讼的情况，政府信息公开工作存在的主要问题及改进情况，工作考核、社会评议和责任追究结果情况，其他需要报告的事项。</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122C0">
            <w:pPr>
              <w:jc w:val="center"/>
              <w:rPr>
                <w:rFonts w:hint="eastAsia" w:ascii="黑体" w:hAnsi="黑体" w:eastAsia="黑体" w:cs="黑体"/>
                <w:b w:val="0"/>
                <w:bCs/>
                <w:i w:val="0"/>
                <w:snapToGrid w:val="0"/>
                <w:color w:val="000000"/>
                <w:kern w:val="0"/>
                <w:sz w:val="20"/>
                <w:szCs w:val="20"/>
                <w:u w:val="none"/>
                <w:lang w:val="en-US" w:eastAsia="en-US" w:bidi="ar-SA"/>
              </w:rPr>
            </w:pPr>
            <w:r>
              <w:rPr>
                <w:rFonts w:hint="eastAsia" w:ascii="仿宋_GB2312" w:hAnsi="仿宋_GB2312" w:eastAsia="仿宋_GB2312" w:cs="仿宋_GB2312"/>
                <w:b w:val="0"/>
                <w:bCs w:val="0"/>
                <w:snapToGrid/>
                <w:spacing w:val="0"/>
                <w:position w:val="0"/>
                <w:sz w:val="18"/>
                <w:szCs w:val="18"/>
              </w:rPr>
              <w:t>全社会</w:t>
            </w:r>
          </w:p>
        </w:tc>
      </w:tr>
      <w:tr w14:paraId="6D7CAD20">
        <w:tblPrEx>
          <w:tblCellMar>
            <w:top w:w="0" w:type="dxa"/>
            <w:left w:w="0" w:type="dxa"/>
            <w:bottom w:w="0" w:type="dxa"/>
            <w:right w:w="0" w:type="dxa"/>
          </w:tblCellMar>
        </w:tblPrEx>
        <w:trPr>
          <w:trHeight w:val="42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E3215">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对外管理服务事项</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7B61D">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highlight w:val="none"/>
              </w:rPr>
              <w:t>其他行政权力</w:t>
            </w:r>
          </w:p>
        </w:tc>
        <w:tc>
          <w:tcPr>
            <w:tcW w:w="3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292B6">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left"/>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highlight w:val="none"/>
              </w:rPr>
              <w:t>建设工程项目配套绿地面积核实验收</w:t>
            </w:r>
          </w:p>
        </w:tc>
        <w:tc>
          <w:tcPr>
            <w:tcW w:w="6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9883F92">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spacing w:val="0"/>
                <w:position w:val="0"/>
                <w:sz w:val="18"/>
                <w:szCs w:val="18"/>
                <w:highlight w:val="none"/>
                <w:lang w:val="en-US" w:eastAsia="zh-CN"/>
              </w:rPr>
            </w:pPr>
            <w:r>
              <w:rPr>
                <w:rFonts w:hint="eastAsia" w:ascii="仿宋_GB2312" w:hAnsi="仿宋_GB2312" w:eastAsia="仿宋_GB2312" w:cs="仿宋_GB2312"/>
                <w:b w:val="0"/>
                <w:bCs w:val="0"/>
                <w:snapToGrid/>
                <w:spacing w:val="0"/>
                <w:position w:val="0"/>
                <w:sz w:val="18"/>
                <w:szCs w:val="18"/>
                <w:highlight w:val="none"/>
                <w:lang w:eastAsia="zh-CN"/>
              </w:rPr>
              <w:t>《</w:t>
            </w:r>
            <w:r>
              <w:rPr>
                <w:rFonts w:hint="eastAsia" w:ascii="仿宋_GB2312" w:hAnsi="仿宋_GB2312" w:eastAsia="仿宋_GB2312" w:cs="仿宋_GB2312"/>
                <w:b w:val="0"/>
                <w:bCs w:val="0"/>
                <w:snapToGrid/>
                <w:spacing w:val="0"/>
                <w:position w:val="0"/>
                <w:sz w:val="18"/>
                <w:szCs w:val="18"/>
                <w:highlight w:val="none"/>
                <w:lang w:val="en-US" w:eastAsia="zh-CN"/>
              </w:rPr>
              <w:t>武汉市城市绿化条例</w:t>
            </w:r>
            <w:r>
              <w:rPr>
                <w:rFonts w:hint="eastAsia" w:ascii="仿宋_GB2312" w:hAnsi="仿宋_GB2312" w:eastAsia="仿宋_GB2312" w:cs="仿宋_GB2312"/>
                <w:b w:val="0"/>
                <w:bCs w:val="0"/>
                <w:snapToGrid/>
                <w:spacing w:val="0"/>
                <w:position w:val="0"/>
                <w:sz w:val="18"/>
                <w:szCs w:val="18"/>
                <w:highlight w:val="none"/>
                <w:lang w:eastAsia="zh-CN"/>
              </w:rPr>
              <w:t>》</w:t>
            </w:r>
            <w:r>
              <w:rPr>
                <w:rFonts w:hint="eastAsia" w:ascii="仿宋_GB2312" w:hAnsi="仿宋_GB2312" w:eastAsia="仿宋_GB2312" w:cs="仿宋_GB2312"/>
                <w:b w:val="0"/>
                <w:bCs w:val="0"/>
                <w:snapToGrid/>
                <w:spacing w:val="0"/>
                <w:position w:val="0"/>
                <w:sz w:val="18"/>
                <w:szCs w:val="18"/>
                <w:highlight w:val="none"/>
              </w:rPr>
              <w:t>第五十二条，下列绿化规划、建设、养护和管理等信息应当自形成或者批准之日起二十日内向社会公开</w:t>
            </w:r>
            <w:r>
              <w:rPr>
                <w:rFonts w:hint="eastAsia" w:ascii="仿宋_GB2312" w:hAnsi="仿宋_GB2312" w:eastAsia="仿宋_GB2312" w:cs="仿宋_GB2312"/>
                <w:b w:val="0"/>
                <w:bCs w:val="0"/>
                <w:snapToGrid/>
                <w:spacing w:val="0"/>
                <w:position w:val="0"/>
                <w:sz w:val="18"/>
                <w:szCs w:val="18"/>
                <w:highlight w:val="none"/>
                <w:lang w:val="en-US" w:eastAsia="zh-CN"/>
              </w:rPr>
              <w:t xml:space="preserve">                         </w:t>
            </w:r>
          </w:p>
          <w:p w14:paraId="232A14F2">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spacing w:val="0"/>
                <w:position w:val="0"/>
                <w:sz w:val="18"/>
                <w:szCs w:val="18"/>
                <w:highlight w:val="none"/>
              </w:rPr>
            </w:pPr>
            <w:r>
              <w:rPr>
                <w:rFonts w:hint="eastAsia" w:ascii="仿宋_GB2312" w:hAnsi="仿宋_GB2312" w:eastAsia="仿宋_GB2312" w:cs="仿宋_GB2312"/>
                <w:b w:val="0"/>
                <w:bCs w:val="0"/>
                <w:snapToGrid/>
                <w:spacing w:val="0"/>
                <w:position w:val="0"/>
                <w:sz w:val="18"/>
                <w:szCs w:val="18"/>
                <w:highlight w:val="none"/>
                <w:lang w:val="en-US" w:eastAsia="zh-CN"/>
              </w:rPr>
              <w:t xml:space="preserve"> </w:t>
            </w:r>
            <w:r>
              <w:rPr>
                <w:rFonts w:hint="eastAsia" w:ascii="仿宋_GB2312" w:hAnsi="仿宋_GB2312" w:eastAsia="仿宋_GB2312" w:cs="仿宋_GB2312"/>
                <w:b w:val="0"/>
                <w:bCs w:val="0"/>
                <w:snapToGrid/>
                <w:spacing w:val="0"/>
                <w:position w:val="0"/>
                <w:sz w:val="18"/>
                <w:szCs w:val="18"/>
                <w:highlight w:val="none"/>
              </w:rPr>
              <w:t>(一)经依法批准或者批准修改的城市绿地系统规划;</w:t>
            </w:r>
          </w:p>
          <w:p w14:paraId="4E54E96B">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spacing w:val="0"/>
                <w:position w:val="0"/>
                <w:sz w:val="18"/>
                <w:szCs w:val="18"/>
                <w:highlight w:val="none"/>
              </w:rPr>
            </w:pPr>
            <w:r>
              <w:rPr>
                <w:rFonts w:hint="eastAsia" w:ascii="仿宋_GB2312" w:hAnsi="仿宋_GB2312" w:eastAsia="仿宋_GB2312" w:cs="仿宋_GB2312"/>
                <w:b w:val="0"/>
                <w:bCs w:val="0"/>
                <w:snapToGrid/>
                <w:spacing w:val="0"/>
                <w:position w:val="0"/>
                <w:sz w:val="18"/>
                <w:szCs w:val="18"/>
                <w:highlight w:val="none"/>
                <w:lang w:eastAsia="zh-CN"/>
              </w:rPr>
              <w:t>（</w:t>
            </w:r>
            <w:r>
              <w:rPr>
                <w:rFonts w:hint="eastAsia" w:ascii="仿宋_GB2312" w:hAnsi="仿宋_GB2312" w:eastAsia="仿宋_GB2312" w:cs="仿宋_GB2312"/>
                <w:b w:val="0"/>
                <w:bCs w:val="0"/>
                <w:snapToGrid/>
                <w:spacing w:val="0"/>
                <w:position w:val="0"/>
                <w:sz w:val="18"/>
                <w:szCs w:val="18"/>
                <w:highlight w:val="none"/>
              </w:rPr>
              <w:t>二)经依法划走或者调整、变更的城市绿线;</w:t>
            </w:r>
          </w:p>
          <w:p w14:paraId="28B2C7FC">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spacing w:val="0"/>
                <w:position w:val="0"/>
                <w:sz w:val="18"/>
                <w:szCs w:val="18"/>
                <w:highlight w:val="none"/>
              </w:rPr>
            </w:pPr>
            <w:r>
              <w:rPr>
                <w:rFonts w:hint="eastAsia" w:ascii="仿宋_GB2312" w:hAnsi="仿宋_GB2312" w:eastAsia="仿宋_GB2312" w:cs="仿宋_GB2312"/>
                <w:b w:val="0"/>
                <w:bCs w:val="0"/>
                <w:snapToGrid/>
                <w:spacing w:val="0"/>
                <w:position w:val="0"/>
                <w:sz w:val="18"/>
                <w:szCs w:val="18"/>
                <w:highlight w:val="none"/>
                <w:lang w:eastAsia="zh-CN"/>
              </w:rPr>
              <w:t>（</w:t>
            </w:r>
            <w:r>
              <w:rPr>
                <w:rFonts w:hint="eastAsia" w:ascii="仿宋_GB2312" w:hAnsi="仿宋_GB2312" w:eastAsia="仿宋_GB2312" w:cs="仿宋_GB2312"/>
                <w:b w:val="0"/>
                <w:bCs w:val="0"/>
                <w:snapToGrid/>
                <w:spacing w:val="0"/>
                <w:position w:val="0"/>
                <w:sz w:val="18"/>
                <w:szCs w:val="18"/>
                <w:highlight w:val="none"/>
              </w:rPr>
              <w:t>三)树种规划;</w:t>
            </w:r>
          </w:p>
          <w:p w14:paraId="1B20996A">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spacing w:val="0"/>
                <w:position w:val="0"/>
                <w:sz w:val="18"/>
                <w:szCs w:val="18"/>
                <w:highlight w:val="none"/>
              </w:rPr>
            </w:pPr>
            <w:r>
              <w:rPr>
                <w:rFonts w:hint="eastAsia" w:ascii="仿宋_GB2312" w:hAnsi="仿宋_GB2312" w:eastAsia="仿宋_GB2312" w:cs="仿宋_GB2312"/>
                <w:b w:val="0"/>
                <w:bCs w:val="0"/>
                <w:snapToGrid/>
                <w:spacing w:val="0"/>
                <w:position w:val="0"/>
                <w:sz w:val="18"/>
                <w:szCs w:val="18"/>
                <w:highlight w:val="none"/>
              </w:rPr>
              <w:t>(四)城市绿化行政许可条件、程序以及依法作出的行政许可决定;</w:t>
            </w:r>
          </w:p>
          <w:p w14:paraId="72617422">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spacing w:val="0"/>
                <w:position w:val="0"/>
                <w:sz w:val="18"/>
                <w:szCs w:val="18"/>
                <w:highlight w:val="none"/>
              </w:rPr>
            </w:pPr>
            <w:r>
              <w:rPr>
                <w:rFonts w:hint="eastAsia" w:ascii="仿宋_GB2312" w:hAnsi="仿宋_GB2312" w:eastAsia="仿宋_GB2312" w:cs="仿宋_GB2312"/>
                <w:b w:val="0"/>
                <w:bCs w:val="0"/>
                <w:snapToGrid/>
                <w:spacing w:val="0"/>
                <w:position w:val="0"/>
                <w:sz w:val="18"/>
                <w:szCs w:val="18"/>
                <w:highlight w:val="none"/>
                <w:lang w:eastAsia="zh-CN"/>
              </w:rPr>
              <w:t>（</w:t>
            </w:r>
            <w:r>
              <w:rPr>
                <w:rFonts w:hint="eastAsia" w:ascii="仿宋_GB2312" w:hAnsi="仿宋_GB2312" w:eastAsia="仿宋_GB2312" w:cs="仿宋_GB2312"/>
                <w:b w:val="0"/>
                <w:bCs w:val="0"/>
                <w:snapToGrid/>
                <w:spacing w:val="0"/>
                <w:position w:val="0"/>
                <w:sz w:val="18"/>
                <w:szCs w:val="18"/>
                <w:highlight w:val="none"/>
              </w:rPr>
              <w:t>五)城市绿化监督检查的情况以及处理结果;</w:t>
            </w:r>
          </w:p>
          <w:p w14:paraId="623C533A">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spacing w:val="0"/>
                <w:position w:val="0"/>
                <w:sz w:val="18"/>
                <w:szCs w:val="18"/>
                <w:highlight w:val="none"/>
              </w:rPr>
            </w:pPr>
            <w:r>
              <w:rPr>
                <w:rFonts w:hint="eastAsia" w:ascii="仿宋_GB2312" w:hAnsi="仿宋_GB2312" w:eastAsia="仿宋_GB2312" w:cs="仿宋_GB2312"/>
                <w:b w:val="0"/>
                <w:bCs w:val="0"/>
                <w:snapToGrid/>
                <w:spacing w:val="0"/>
                <w:position w:val="0"/>
                <w:sz w:val="18"/>
                <w:szCs w:val="18"/>
                <w:highlight w:val="none"/>
              </w:rPr>
              <w:t>(六)其他依法应当公开的信息。</w:t>
            </w:r>
          </w:p>
          <w:p w14:paraId="3F13CA23">
            <w:pPr>
              <w:jc w:val="left"/>
              <w:rPr>
                <w:rFonts w:hint="eastAsia" w:ascii="仿宋_GB2312" w:hAnsi="仿宋_GB2312" w:eastAsia="仿宋_GB2312" w:cs="仿宋_GB2312"/>
                <w:b w:val="0"/>
                <w:bCs w:val="0"/>
                <w:snapToGrid/>
                <w:color w:val="000000"/>
                <w:spacing w:val="0"/>
                <w:kern w:val="0"/>
                <w:position w:val="0"/>
                <w:sz w:val="18"/>
                <w:szCs w:val="18"/>
                <w:lang w:val="en-US" w:eastAsia="en-US" w:bidi="ar-SA"/>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0BD1B">
            <w:pPr>
              <w:jc w:val="center"/>
              <w:rPr>
                <w:rFonts w:hint="eastAsia" w:ascii="黑体" w:hAnsi="黑体" w:eastAsia="黑体" w:cs="黑体"/>
                <w:b w:val="0"/>
                <w:bCs/>
                <w:i w:val="0"/>
                <w:snapToGrid w:val="0"/>
                <w:color w:val="000000"/>
                <w:kern w:val="0"/>
                <w:sz w:val="20"/>
                <w:szCs w:val="20"/>
                <w:u w:val="none"/>
                <w:lang w:val="en-US" w:eastAsia="en-US" w:bidi="ar-SA"/>
              </w:rPr>
            </w:pPr>
            <w:r>
              <w:rPr>
                <w:rFonts w:hint="eastAsia" w:ascii="仿宋_GB2312" w:hAnsi="仿宋_GB2312" w:eastAsia="仿宋_GB2312" w:cs="仿宋_GB2312"/>
                <w:b w:val="0"/>
                <w:bCs w:val="0"/>
                <w:snapToGrid/>
                <w:spacing w:val="0"/>
                <w:position w:val="0"/>
                <w:sz w:val="18"/>
                <w:szCs w:val="18"/>
              </w:rPr>
              <w:t>全社会</w:t>
            </w:r>
          </w:p>
        </w:tc>
      </w:tr>
      <w:tr w14:paraId="246E102B">
        <w:tblPrEx>
          <w:tblCellMar>
            <w:top w:w="0" w:type="dxa"/>
            <w:left w:w="0" w:type="dxa"/>
            <w:bottom w:w="0" w:type="dxa"/>
            <w:right w:w="0" w:type="dxa"/>
          </w:tblCellMar>
        </w:tblPrEx>
        <w:trPr>
          <w:trHeight w:val="42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D8302">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对外管理服务事项</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F4F4D">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双随机一公开</w:t>
            </w:r>
          </w:p>
        </w:tc>
        <w:tc>
          <w:tcPr>
            <w:tcW w:w="1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5B2B2">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省级随机抽查事项清单</w:t>
            </w:r>
          </w:p>
        </w:tc>
        <w:tc>
          <w:tcPr>
            <w:tcW w:w="2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4910A">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市场监管总局关于全面深化“双随机、一公开”监管规范涉企行政检查服务高质量发展的意见》国市监信规〔2024〕5号：省级市场监管部门应结合地方实际公布省级随机抽查事项清单，并加强与部门权责事项清单、“互联网+监管”事项清单等的衔接。</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E87E0">
            <w:pPr>
              <w:jc w:val="center"/>
              <w:rPr>
                <w:rFonts w:hint="eastAsia" w:ascii="黑体" w:hAnsi="黑体" w:eastAsia="黑体" w:cs="黑体"/>
                <w:b w:val="0"/>
                <w:bCs/>
                <w:i w:val="0"/>
                <w:snapToGrid w:val="0"/>
                <w:color w:val="000000"/>
                <w:kern w:val="0"/>
                <w:sz w:val="20"/>
                <w:szCs w:val="20"/>
                <w:u w:val="none"/>
                <w:lang w:val="en-US" w:eastAsia="en-US" w:bidi="ar-SA"/>
              </w:rPr>
            </w:pPr>
            <w:r>
              <w:rPr>
                <w:rFonts w:hint="eastAsia" w:ascii="仿宋_GB2312" w:hAnsi="仿宋_GB2312" w:eastAsia="仿宋_GB2312" w:cs="仿宋_GB2312"/>
                <w:b w:val="0"/>
                <w:bCs w:val="0"/>
                <w:snapToGrid/>
                <w:spacing w:val="0"/>
                <w:position w:val="0"/>
                <w:sz w:val="18"/>
                <w:szCs w:val="18"/>
              </w:rPr>
              <w:t>全社会</w:t>
            </w:r>
          </w:p>
        </w:tc>
      </w:tr>
      <w:tr w14:paraId="1F094499">
        <w:tblPrEx>
          <w:tblCellMar>
            <w:top w:w="0" w:type="dxa"/>
            <w:left w:w="0" w:type="dxa"/>
            <w:bottom w:w="0" w:type="dxa"/>
            <w:right w:w="0" w:type="dxa"/>
          </w:tblCellMar>
        </w:tblPrEx>
        <w:trPr>
          <w:trHeight w:val="42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2AFEF">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对外管理服务事项</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C38E7">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双随机一公开</w:t>
            </w:r>
          </w:p>
        </w:tc>
        <w:tc>
          <w:tcPr>
            <w:tcW w:w="1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DA560">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抽查检查结果</w:t>
            </w:r>
          </w:p>
        </w:tc>
        <w:tc>
          <w:tcPr>
            <w:tcW w:w="2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46A00">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r>
              <w:rPr>
                <w:rFonts w:hint="eastAsia" w:ascii="仿宋_GB2312" w:hAnsi="仿宋_GB2312" w:eastAsia="仿宋_GB2312" w:cs="仿宋_GB2312"/>
                <w:b w:val="0"/>
                <w:bCs w:val="0"/>
                <w:snapToGrid/>
                <w:spacing w:val="0"/>
                <w:position w:val="0"/>
                <w:sz w:val="18"/>
                <w:szCs w:val="18"/>
              </w:rPr>
              <w:t>《市场监管总局关于全面深化“双随机、一公开”监管规范涉企行政检查服务高质量发展的意见》国市监信规〔2024〕5号：抽查检查结束后，按照“谁检查、谁录入、谁负责”原则录入抽查检查结果信息并依法公示。抽查检查结果信息包括：未发现问题；未按规定公示应当公示的信息；通过登记的住所(经营场所)无法联系；不配合检查情节严重；未发现开展本次抽查涉及的经营活动；发现问题，依法责令立即改正或者限期改正；发现问题，待后续调查处理；合格/不合格；其他情况。</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80DDA">
            <w:pPr>
              <w:jc w:val="center"/>
              <w:rPr>
                <w:rFonts w:hint="eastAsia" w:ascii="黑体" w:hAnsi="黑体" w:eastAsia="黑体" w:cs="黑体"/>
                <w:b w:val="0"/>
                <w:bCs/>
                <w:i w:val="0"/>
                <w:snapToGrid w:val="0"/>
                <w:color w:val="000000"/>
                <w:kern w:val="0"/>
                <w:sz w:val="20"/>
                <w:szCs w:val="20"/>
                <w:u w:val="none"/>
                <w:lang w:val="en-US" w:eastAsia="en-US" w:bidi="ar-SA"/>
              </w:rPr>
            </w:pPr>
            <w:r>
              <w:rPr>
                <w:rFonts w:hint="eastAsia" w:ascii="仿宋_GB2312" w:hAnsi="仿宋_GB2312" w:eastAsia="仿宋_GB2312" w:cs="仿宋_GB2312"/>
                <w:b w:val="0"/>
                <w:bCs w:val="0"/>
                <w:snapToGrid/>
                <w:spacing w:val="0"/>
                <w:position w:val="0"/>
                <w:sz w:val="18"/>
                <w:szCs w:val="18"/>
              </w:rPr>
              <w:t>全社会</w:t>
            </w:r>
          </w:p>
        </w:tc>
      </w:tr>
      <w:tr w14:paraId="60879867">
        <w:tblPrEx>
          <w:tblCellMar>
            <w:top w:w="0" w:type="dxa"/>
            <w:left w:w="0" w:type="dxa"/>
            <w:bottom w:w="0" w:type="dxa"/>
            <w:right w:w="0" w:type="dxa"/>
          </w:tblCellMar>
        </w:tblPrEx>
        <w:trPr>
          <w:trHeight w:val="42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DDCC0">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default" w:ascii="仿宋_GB2312" w:hAnsi="仿宋_GB2312" w:eastAsia="仿宋_GB2312" w:cs="仿宋_GB2312"/>
                <w:b w:val="0"/>
                <w:bCs w:val="0"/>
                <w:snapToGrid/>
                <w:spacing w:val="0"/>
                <w:position w:val="0"/>
                <w:sz w:val="18"/>
                <w:szCs w:val="18"/>
                <w:lang w:val="en-US" w:eastAsia="zh-CN"/>
              </w:rPr>
            </w:pPr>
            <w:r>
              <w:rPr>
                <w:rFonts w:hint="eastAsia" w:ascii="仿宋_GB2312" w:hAnsi="仿宋_GB2312" w:eastAsia="仿宋_GB2312" w:cs="仿宋_GB2312"/>
                <w:b w:val="0"/>
                <w:bCs w:val="0"/>
                <w:snapToGrid/>
                <w:spacing w:val="0"/>
                <w:position w:val="0"/>
                <w:sz w:val="18"/>
                <w:szCs w:val="18"/>
                <w:lang w:val="en-US" w:eastAsia="zh-CN"/>
              </w:rPr>
              <w:t>依申请公开</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88DDD">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spacing w:val="0"/>
                <w:position w:val="0"/>
                <w:sz w:val="18"/>
                <w:szCs w:val="18"/>
                <w:lang w:val="en-US" w:eastAsia="en-US"/>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30AE4">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spacing w:val="0"/>
                <w:position w:val="0"/>
                <w:sz w:val="18"/>
                <w:szCs w:val="18"/>
              </w:rPr>
            </w:pPr>
            <w:r>
              <w:rPr>
                <w:rFonts w:hint="eastAsia" w:ascii="仿宋_GB2312" w:hAnsi="仿宋_GB2312" w:eastAsia="仿宋_GB2312" w:cs="仿宋_GB2312"/>
                <w:b w:val="0"/>
                <w:bCs w:val="0"/>
                <w:snapToGrid/>
                <w:spacing w:val="0"/>
                <w:position w:val="0"/>
                <w:sz w:val="18"/>
                <w:szCs w:val="18"/>
              </w:rPr>
              <w:t>依申请公开的办理流程、申请表、办理入口等信息</w:t>
            </w:r>
          </w:p>
        </w:tc>
        <w:tc>
          <w:tcPr>
            <w:tcW w:w="2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46DA390">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default" w:ascii="仿宋_GB2312" w:hAnsi="仿宋_GB2312" w:eastAsia="仿宋_GB2312" w:cs="仿宋_GB2312"/>
                <w:b w:val="0"/>
                <w:bCs w:val="0"/>
                <w:snapToGrid/>
                <w:spacing w:val="0"/>
                <w:position w:val="0"/>
                <w:sz w:val="18"/>
                <w:szCs w:val="18"/>
                <w:lang w:val="en-US" w:eastAsia="zh-CN"/>
              </w:rPr>
            </w:pPr>
            <w:r>
              <w:rPr>
                <w:rFonts w:hint="eastAsia" w:ascii="仿宋_GB2312" w:hAnsi="仿宋_GB2312" w:eastAsia="仿宋_GB2312" w:cs="仿宋_GB2312"/>
                <w:b w:val="0"/>
                <w:bCs w:val="0"/>
                <w:snapToGrid/>
                <w:spacing w:val="0"/>
                <w:position w:val="0"/>
                <w:sz w:val="18"/>
                <w:szCs w:val="18"/>
                <w:lang w:val="en-US" w:eastAsia="zh-CN"/>
              </w:rPr>
              <w:t>《政府信息公开条例》</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22B15">
            <w:pPr>
              <w:jc w:val="center"/>
              <w:rPr>
                <w:rFonts w:hint="eastAsia" w:ascii="黑体" w:hAnsi="黑体" w:eastAsia="黑体" w:cs="黑体"/>
                <w:b w:val="0"/>
                <w:bCs/>
                <w:i w:val="0"/>
                <w:color w:val="000000"/>
                <w:sz w:val="20"/>
                <w:szCs w:val="20"/>
                <w:u w:val="none"/>
              </w:rPr>
            </w:pPr>
            <w:r>
              <w:rPr>
                <w:rFonts w:hint="eastAsia" w:ascii="仿宋_GB2312" w:hAnsi="仿宋_GB2312" w:eastAsia="仿宋_GB2312" w:cs="仿宋_GB2312"/>
                <w:b w:val="0"/>
                <w:bCs w:val="0"/>
                <w:snapToGrid/>
                <w:spacing w:val="0"/>
                <w:position w:val="0"/>
                <w:sz w:val="18"/>
                <w:szCs w:val="18"/>
              </w:rPr>
              <w:t>全社会</w:t>
            </w:r>
          </w:p>
        </w:tc>
      </w:tr>
      <w:tr w14:paraId="6B1CF00C">
        <w:tblPrEx>
          <w:tblCellMar>
            <w:top w:w="0" w:type="dxa"/>
            <w:left w:w="0" w:type="dxa"/>
            <w:bottom w:w="0" w:type="dxa"/>
            <w:right w:w="0" w:type="dxa"/>
          </w:tblCellMar>
        </w:tblPrEx>
        <w:trPr>
          <w:trHeight w:val="42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1EDFFBA">
            <w:pPr>
              <w:jc w:val="left"/>
              <w:rPr>
                <w:rFonts w:hint="eastAsia" w:ascii="黑体" w:hAnsi="黑体" w:eastAsia="黑体" w:cs="黑体"/>
                <w:b w:val="0"/>
                <w:bCs/>
                <w:i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C852DBF">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A365856">
            <w:pPr>
              <w:jc w:val="left"/>
              <w:rPr>
                <w:rFonts w:hint="eastAsia" w:ascii="黑体" w:hAnsi="黑体" w:eastAsia="黑体" w:cs="黑体"/>
                <w:b w:val="0"/>
                <w:bCs/>
                <w:i w:val="0"/>
                <w:color w:val="000000"/>
                <w:sz w:val="20"/>
                <w:szCs w:val="20"/>
                <w:u w:val="none"/>
              </w:rPr>
            </w:pPr>
          </w:p>
        </w:tc>
        <w:tc>
          <w:tcPr>
            <w:tcW w:w="2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203484B">
            <w:pPr>
              <w:jc w:val="left"/>
              <w:rPr>
                <w:rFonts w:hint="eastAsia" w:ascii="黑体" w:hAnsi="黑体" w:eastAsia="黑体" w:cs="黑体"/>
                <w:b w:val="0"/>
                <w:bCs/>
                <w:i w:val="0"/>
                <w:color w:val="000000"/>
                <w:sz w:val="20"/>
                <w:szCs w:val="20"/>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485249F">
            <w:pPr>
              <w:jc w:val="left"/>
              <w:rPr>
                <w:rFonts w:hint="eastAsia" w:ascii="黑体" w:hAnsi="黑体" w:eastAsia="黑体" w:cs="黑体"/>
                <w:b w:val="0"/>
                <w:bCs/>
                <w:i w:val="0"/>
                <w:color w:val="000000"/>
                <w:sz w:val="20"/>
                <w:szCs w:val="20"/>
                <w:u w:val="none"/>
              </w:rPr>
            </w:pPr>
          </w:p>
        </w:tc>
      </w:tr>
      <w:tr w14:paraId="325BF4BA">
        <w:tblPrEx>
          <w:tblCellMar>
            <w:top w:w="0" w:type="dxa"/>
            <w:left w:w="0" w:type="dxa"/>
            <w:bottom w:w="0" w:type="dxa"/>
            <w:right w:w="0" w:type="dxa"/>
          </w:tblCellMar>
        </w:tblPrEx>
        <w:trPr>
          <w:trHeight w:val="425"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2EF586F">
            <w:pPr>
              <w:jc w:val="left"/>
              <w:rPr>
                <w:rFonts w:hint="eastAsia" w:ascii="黑体" w:hAnsi="黑体" w:eastAsia="黑体" w:cs="黑体"/>
                <w:b w:val="0"/>
                <w:bCs/>
                <w:i w:val="0"/>
                <w:color w:val="000000"/>
                <w:sz w:val="20"/>
                <w:szCs w:val="20"/>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A80FE0">
            <w:pPr>
              <w:pStyle w:val="8"/>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both"/>
              <w:textAlignment w:val="auto"/>
              <w:rPr>
                <w:rFonts w:hint="eastAsia" w:ascii="仿宋_GB2312" w:hAnsi="仿宋_GB2312" w:eastAsia="仿宋_GB2312" w:cs="仿宋_GB2312"/>
                <w:b w:val="0"/>
                <w:bCs w:val="0"/>
                <w:snapToGrid/>
                <w:color w:val="000000"/>
                <w:spacing w:val="0"/>
                <w:kern w:val="0"/>
                <w:position w:val="0"/>
                <w:sz w:val="18"/>
                <w:szCs w:val="18"/>
                <w:lang w:val="en-US" w:eastAsia="en-US" w:bidi="ar-SA"/>
              </w:rPr>
            </w:pPr>
          </w:p>
        </w:tc>
        <w:tc>
          <w:tcPr>
            <w:tcW w:w="1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F64790">
            <w:pPr>
              <w:jc w:val="left"/>
              <w:rPr>
                <w:rFonts w:hint="eastAsia" w:ascii="黑体" w:hAnsi="黑体" w:eastAsia="黑体" w:cs="黑体"/>
                <w:b w:val="0"/>
                <w:bCs/>
                <w:i w:val="0"/>
                <w:color w:val="000000"/>
                <w:sz w:val="20"/>
                <w:szCs w:val="20"/>
                <w:u w:val="none"/>
              </w:rPr>
            </w:pPr>
          </w:p>
        </w:tc>
        <w:tc>
          <w:tcPr>
            <w:tcW w:w="2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214040C">
            <w:pPr>
              <w:jc w:val="left"/>
              <w:rPr>
                <w:rFonts w:hint="eastAsia" w:ascii="黑体" w:hAnsi="黑体" w:eastAsia="黑体" w:cs="黑体"/>
                <w:b w:val="0"/>
                <w:bCs/>
                <w:i w:val="0"/>
                <w:color w:val="000000"/>
                <w:sz w:val="20"/>
                <w:szCs w:val="20"/>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1653F27">
            <w:pPr>
              <w:jc w:val="left"/>
              <w:rPr>
                <w:rFonts w:hint="eastAsia" w:ascii="黑体" w:hAnsi="黑体" w:eastAsia="黑体" w:cs="黑体"/>
                <w:b w:val="0"/>
                <w:bCs/>
                <w:i w:val="0"/>
                <w:color w:val="000000"/>
                <w:sz w:val="20"/>
                <w:szCs w:val="20"/>
                <w:u w:val="none"/>
              </w:rPr>
            </w:pPr>
          </w:p>
        </w:tc>
      </w:tr>
    </w:tbl>
    <w:p w14:paraId="6BD228C8">
      <w:pPr>
        <w:keepNext w:val="0"/>
        <w:keepLines w:val="0"/>
        <w:pageBreakBefore w:val="0"/>
        <w:widowControl/>
        <w:kinsoku w:val="0"/>
        <w:wordWrap/>
        <w:overflowPunct/>
        <w:topLinePunct w:val="0"/>
        <w:autoSpaceDE w:val="0"/>
        <w:autoSpaceDN w:val="0"/>
        <w:bidi w:val="0"/>
        <w:adjustRightInd w:val="0"/>
        <w:snapToGrid w:val="0"/>
        <w:spacing w:line="20" w:lineRule="exact"/>
        <w:jc w:val="both"/>
        <w:textAlignment w:val="baseline"/>
        <w:rPr>
          <w:rFonts w:hint="eastAsia" w:ascii="黑体" w:hAnsi="黑体" w:eastAsia="黑体" w:cs="黑体"/>
          <w:sz w:val="32"/>
          <w:szCs w:val="32"/>
        </w:rPr>
      </w:pPr>
    </w:p>
    <w:sectPr>
      <w:footerReference r:id="rId5" w:type="default"/>
      <w:pgSz w:w="16820" w:h="11900"/>
      <w:pgMar w:top="1011" w:right="1344" w:bottom="1064" w:left="1245" w:header="0" w:footer="92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30FF6">
    <w:pPr>
      <w:spacing w:line="174" w:lineRule="auto"/>
      <w:ind w:left="6984"/>
      <w:rPr>
        <w:rFonts w:ascii="Times New Roman" w:hAnsi="Times New Roman" w:eastAsia="Times New Roman" w:cs="Times New Roman"/>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39211E8"/>
    <w:rsid w:val="07EB22DA"/>
    <w:rsid w:val="0EC658EC"/>
    <w:rsid w:val="15C23860"/>
    <w:rsid w:val="29151D2C"/>
    <w:rsid w:val="2F2916E4"/>
    <w:rsid w:val="327B227E"/>
    <w:rsid w:val="3DE35308"/>
    <w:rsid w:val="4D673998"/>
    <w:rsid w:val="4F5F60FA"/>
    <w:rsid w:val="52505433"/>
    <w:rsid w:val="61EC65D5"/>
    <w:rsid w:val="6EDD1F0A"/>
    <w:rsid w:val="6F9377E4"/>
    <w:rsid w:val="74195C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6"/>
      <w:szCs w:val="36"/>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892</Words>
  <Characters>915</Characters>
  <TotalTime>2</TotalTime>
  <ScaleCrop>false</ScaleCrop>
  <LinksUpToDate>false</LinksUpToDate>
  <CharactersWithSpaces>918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2024-11-22T15:50:00Z</dcterms:created>
  <dc:creator>Kingsoft-PDF</dc:creator>
  <cp:lastModifiedBy>我就是潘天宇 T^T </cp:lastModifiedBy>
  <cp:lastPrinted>2025-06-12T03:46:00Z</cp:lastPrinted>
  <dcterms:modified xsi:type="dcterms:W3CDTF">2025-10-28T07:29:24Z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2024-11-22T15:50:20Z</vt:filetime>
  </property>
  <property fmtid="{D5CDD505-2E9C-101B-9397-08002B2CF9AE}" pid="4" name="UsrData">
    <vt:lpwstr>674037af6631a70020b73a80wl</vt:lpwstr>
  </property>
  <property fmtid="{D5CDD505-2E9C-101B-9397-08002B2CF9AE}" pid="5" name="KSOProductBuildVer">
    <vt:lpwstr>2052-12.1.0.23125</vt:lpwstr>
  </property>
  <property fmtid="{D5CDD505-2E9C-101B-9397-08002B2CF9AE}" pid="6" name="ICV">
    <vt:lpwstr>21FDC0EEFAFE4F26AF3999B3828C0E08_13</vt:lpwstr>
  </property>
  <property fmtid="{D5CDD505-2E9C-101B-9397-08002B2CF9AE}" pid="7" name="KSOTemplateDocerSaveRecord">
    <vt:lpwstr>eyJoZGlkIjoiZDQxZjA5MzllYjI2M2JhMmI2OGQ4YTdjNGM2NjBkZjMiLCJ1c2VySWQiOiIyMzg4ODUwNTEifQ==</vt:lpwstr>
  </property>
</Properties>
</file>