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A6C25B">
      <w:pPr>
        <w:spacing w:after="156" w:afterLines="50"/>
        <w:jc w:val="left"/>
        <w:rPr>
          <w:rFonts w:hint="eastAsia" w:ascii="仿宋" w:hAnsi="仿宋" w:eastAsia="仿宋" w:cs="仿宋"/>
          <w:bCs/>
          <w:sz w:val="32"/>
          <w:szCs w:val="32"/>
        </w:rPr>
      </w:pPr>
      <w:r>
        <w:rPr>
          <w:rFonts w:hint="eastAsia" w:ascii="仿宋" w:hAnsi="仿宋" w:eastAsia="仿宋" w:cs="仿宋"/>
          <w:bCs/>
          <w:sz w:val="32"/>
          <w:szCs w:val="32"/>
        </w:rPr>
        <w:t>附件1</w:t>
      </w:r>
    </w:p>
    <w:p w14:paraId="17A144E2">
      <w:pPr>
        <w:spacing w:after="156" w:afterLines="50" w:line="560" w:lineRule="exact"/>
        <w:jc w:val="center"/>
        <w:rPr>
          <w:rFonts w:hint="eastAsia" w:ascii="方正小标宋简体" w:hAnsi="仿宋" w:eastAsia="方正小标宋简体"/>
          <w:bCs/>
          <w:sz w:val="44"/>
          <w:szCs w:val="44"/>
        </w:rPr>
      </w:pPr>
      <w:r>
        <w:rPr>
          <w:rFonts w:hint="eastAsia" w:ascii="方正小标宋简体" w:hAnsi="仿宋" w:eastAsia="方正小标宋简体"/>
          <w:bCs/>
          <w:sz w:val="44"/>
          <w:szCs w:val="44"/>
          <w:lang w:val="en-US" w:eastAsia="zh-CN"/>
        </w:rPr>
        <w:t>江岸</w:t>
      </w:r>
      <w:r>
        <w:rPr>
          <w:rFonts w:hint="eastAsia" w:ascii="方正小标宋简体" w:hAnsi="仿宋" w:eastAsia="方正小标宋简体"/>
          <w:bCs/>
          <w:sz w:val="44"/>
          <w:szCs w:val="44"/>
        </w:rPr>
        <w:t>基金202</w:t>
      </w:r>
      <w:r>
        <w:rPr>
          <w:rFonts w:hint="eastAsia" w:ascii="方正小标宋简体" w:hAnsi="仿宋" w:eastAsia="方正小标宋简体"/>
          <w:bCs/>
          <w:sz w:val="44"/>
          <w:szCs w:val="44"/>
          <w:lang w:val="en-US" w:eastAsia="zh-CN"/>
        </w:rPr>
        <w:t>6</w:t>
      </w:r>
      <w:r>
        <w:rPr>
          <w:rFonts w:hint="eastAsia" w:ascii="方正小标宋简体" w:hAnsi="仿宋" w:eastAsia="方正小标宋简体"/>
          <w:bCs/>
          <w:sz w:val="44"/>
          <w:szCs w:val="44"/>
        </w:rPr>
        <w:t>年参</w:t>
      </w:r>
      <w:r>
        <w:rPr>
          <w:rFonts w:hint="eastAsia" w:ascii="方正小标宋简体" w:hAnsi="仿宋" w:eastAsia="方正小标宋简体"/>
          <w:bCs/>
          <w:sz w:val="44"/>
          <w:szCs w:val="44"/>
          <w:lang w:val="en-US" w:eastAsia="zh-CN"/>
        </w:rPr>
        <w:t>投</w:t>
      </w:r>
      <w:r>
        <w:rPr>
          <w:rFonts w:hint="eastAsia" w:ascii="方正小标宋简体" w:hAnsi="仿宋" w:eastAsia="方正小标宋简体"/>
          <w:bCs/>
          <w:sz w:val="44"/>
          <w:szCs w:val="44"/>
        </w:rPr>
        <w:t>基金</w:t>
      </w:r>
    </w:p>
    <w:p w14:paraId="4AD239B5">
      <w:pPr>
        <w:spacing w:after="156" w:afterLines="50" w:line="560" w:lineRule="exact"/>
        <w:jc w:val="center"/>
        <w:rPr>
          <w:rFonts w:hint="eastAsia" w:ascii="方正小标宋简体" w:hAnsi="仿宋" w:eastAsia="方正小标宋简体"/>
          <w:bCs/>
          <w:sz w:val="44"/>
          <w:szCs w:val="44"/>
        </w:rPr>
      </w:pPr>
      <w:r>
        <w:rPr>
          <w:rFonts w:hint="eastAsia" w:ascii="方正小标宋简体" w:hAnsi="仿宋" w:eastAsia="方正小标宋简体"/>
          <w:bCs/>
          <w:sz w:val="44"/>
          <w:szCs w:val="44"/>
        </w:rPr>
        <w:t>申报指南</w:t>
      </w:r>
    </w:p>
    <w:p w14:paraId="0C0918E5">
      <w:pPr>
        <w:spacing w:line="560" w:lineRule="exact"/>
        <w:rPr>
          <w:rFonts w:hint="eastAsia" w:ascii="仿宋" w:hAnsi="仿宋" w:eastAsia="仿宋"/>
          <w:color w:val="000000"/>
          <w:sz w:val="32"/>
          <w:szCs w:val="32"/>
        </w:rPr>
      </w:pPr>
    </w:p>
    <w:p w14:paraId="71EDB4B7">
      <w:pPr>
        <w:pStyle w:val="42"/>
        <w:numPr>
          <w:ilvl w:val="0"/>
          <w:numId w:val="1"/>
        </w:numPr>
        <w:spacing w:line="560" w:lineRule="exact"/>
        <w:ind w:firstLineChars="0"/>
        <w:rPr>
          <w:rFonts w:hint="eastAsia" w:ascii="黑体" w:hAnsi="黑体" w:eastAsia="黑体" w:cs="黑体"/>
          <w:sz w:val="32"/>
          <w:szCs w:val="32"/>
        </w:rPr>
      </w:pPr>
      <w:r>
        <w:rPr>
          <w:rFonts w:hint="eastAsia" w:ascii="黑体" w:hAnsi="黑体" w:eastAsia="黑体" w:cs="黑体"/>
          <w:color w:val="000000"/>
          <w:sz w:val="32"/>
          <w:szCs w:val="32"/>
          <w:shd w:val="clear" w:color="auto" w:fill="FFFFFF"/>
        </w:rPr>
        <w:t>拟参</w:t>
      </w:r>
      <w:r>
        <w:rPr>
          <w:rFonts w:hint="eastAsia" w:ascii="黑体" w:hAnsi="黑体" w:eastAsia="黑体" w:cs="黑体"/>
          <w:color w:val="000000"/>
          <w:sz w:val="32"/>
          <w:szCs w:val="32"/>
          <w:shd w:val="clear" w:color="auto" w:fill="FFFFFF"/>
          <w:lang w:val="en-US" w:eastAsia="zh-CN"/>
        </w:rPr>
        <w:t>投</w:t>
      </w:r>
      <w:r>
        <w:rPr>
          <w:rFonts w:hint="eastAsia" w:ascii="黑体" w:hAnsi="黑体" w:eastAsia="黑体" w:cs="黑体"/>
          <w:color w:val="000000"/>
          <w:sz w:val="32"/>
          <w:szCs w:val="32"/>
          <w:shd w:val="clear" w:color="auto" w:fill="FFFFFF"/>
        </w:rPr>
        <w:t>设立基金类型</w:t>
      </w:r>
    </w:p>
    <w:p w14:paraId="27359D86">
      <w:pPr>
        <w:numPr>
          <w:numId w:val="0"/>
        </w:numPr>
        <w:spacing w:line="560" w:lineRule="exact"/>
        <w:ind w:firstLine="640" w:firstLineChars="200"/>
        <w:rPr>
          <w:rFonts w:hint="eastAsia" w:ascii="仿宋" w:hAnsi="仿宋" w:eastAsia="仿宋"/>
          <w:color w:val="000000"/>
          <w:sz w:val="32"/>
          <w:szCs w:val="32"/>
          <w:shd w:val="clear" w:color="auto" w:fill="FFFFFF"/>
          <w:lang w:val="en-US" w:eastAsia="zh-CN"/>
        </w:rPr>
      </w:pPr>
      <w:r>
        <w:rPr>
          <w:rFonts w:hint="eastAsia" w:ascii="仿宋" w:hAnsi="仿宋" w:eastAsia="仿宋"/>
          <w:color w:val="000000"/>
          <w:sz w:val="32"/>
          <w:szCs w:val="32"/>
          <w:shd w:val="clear" w:color="auto" w:fill="FFFFFF"/>
          <w:lang w:val="en-US" w:eastAsia="zh-CN"/>
        </w:rPr>
        <w:t>（一）</w:t>
      </w:r>
      <w:r>
        <w:rPr>
          <w:rFonts w:hint="eastAsia" w:ascii="仿宋" w:hAnsi="仿宋" w:eastAsia="仿宋"/>
          <w:color w:val="000000"/>
          <w:sz w:val="32"/>
          <w:szCs w:val="32"/>
          <w:shd w:val="clear" w:color="auto" w:fill="FFFFFF"/>
          <w:lang w:val="en-US" w:eastAsia="zh-CN"/>
        </w:rPr>
        <w:t>创投类基金。基金包括种子基金、天使基金等。其中，种子基金、天使基金要求不低于基金注册资本或承诺出资额60%的实际投资额投向初创期、</w:t>
      </w:r>
      <w:r>
        <w:rPr>
          <w:rFonts w:hint="eastAsia" w:ascii="仿宋" w:hAnsi="仿宋" w:eastAsia="仿宋"/>
          <w:color w:val="000000"/>
          <w:sz w:val="32"/>
          <w:szCs w:val="32"/>
          <w:shd w:val="clear" w:color="auto" w:fill="FFFFFF"/>
          <w:lang w:val="en-US" w:eastAsia="zh-CN"/>
        </w:rPr>
        <w:t>早中期的</w:t>
      </w:r>
      <w:r>
        <w:rPr>
          <w:rFonts w:hint="eastAsia" w:ascii="仿宋" w:hAnsi="仿宋" w:eastAsia="仿宋"/>
          <w:color w:val="000000"/>
          <w:sz w:val="32"/>
          <w:szCs w:val="32"/>
          <w:shd w:val="clear" w:color="auto" w:fill="FFFFFF"/>
          <w:lang w:val="en-US" w:eastAsia="zh-CN"/>
        </w:rPr>
        <w:t>中小企业。</w:t>
      </w:r>
    </w:p>
    <w:p w14:paraId="32FD926F">
      <w:pPr>
        <w:numPr>
          <w:numId w:val="0"/>
        </w:numPr>
        <w:spacing w:line="560" w:lineRule="exact"/>
        <w:ind w:firstLine="640" w:firstLineChars="200"/>
        <w:rPr>
          <w:rFonts w:hint="eastAsia" w:ascii="仿宋" w:hAnsi="仿宋" w:eastAsia="仿宋"/>
          <w:color w:val="000000"/>
          <w:sz w:val="32"/>
          <w:szCs w:val="32"/>
          <w:shd w:val="clear" w:color="auto" w:fill="FFFFFF"/>
          <w:lang w:val="en-US" w:eastAsia="zh-CN"/>
        </w:rPr>
      </w:pPr>
      <w:r>
        <w:rPr>
          <w:rFonts w:hint="eastAsia" w:ascii="仿宋" w:hAnsi="仿宋" w:eastAsia="仿宋"/>
          <w:color w:val="000000"/>
          <w:sz w:val="32"/>
          <w:szCs w:val="32"/>
          <w:shd w:val="clear" w:color="auto" w:fill="FFFFFF"/>
          <w:lang w:val="en-US" w:eastAsia="zh-CN"/>
        </w:rPr>
        <w:t>创投基金主要负责“从0到1”阶段种子投资，兼顾“从1 到2”阶段天使投资，服务科创引领战略，支持打造具有全国影 响力的科技创新高地。</w:t>
      </w:r>
    </w:p>
    <w:p w14:paraId="5F6705C7">
      <w:pPr>
        <w:numPr>
          <w:ilvl w:val="0"/>
          <w:numId w:val="0"/>
        </w:numPr>
        <w:spacing w:line="560" w:lineRule="exact"/>
        <w:ind w:firstLine="640" w:firstLineChars="200"/>
        <w:rPr>
          <w:rFonts w:hint="eastAsia" w:ascii="仿宋" w:hAnsi="仿宋" w:eastAsia="仿宋"/>
          <w:color w:val="000000"/>
          <w:sz w:val="32"/>
          <w:szCs w:val="32"/>
          <w:shd w:val="clear" w:color="auto" w:fill="FFFFFF"/>
          <w:lang w:val="en-US" w:eastAsia="zh-CN"/>
        </w:rPr>
      </w:pPr>
      <w:r>
        <w:rPr>
          <w:rFonts w:hint="eastAsia" w:ascii="仿宋" w:hAnsi="仿宋" w:eastAsia="仿宋"/>
          <w:color w:val="000000"/>
          <w:sz w:val="32"/>
          <w:szCs w:val="32"/>
          <w:shd w:val="clear" w:color="auto" w:fill="FFFFFF"/>
          <w:lang w:val="en-US" w:eastAsia="zh-CN"/>
        </w:rPr>
        <w:t>初创期创新型企业是指符合如下条件的企业，即：成立时间不超过5年，职工人数不超过300人，直接从事研究开发的科技人员占职工总数的20%以上，资产总额不超过3000万元人民币，年销售额或营业额不超过3000万元人民币。</w:t>
      </w:r>
      <w:r>
        <w:rPr>
          <w:rFonts w:hint="eastAsia" w:ascii="仿宋" w:hAnsi="仿宋" w:eastAsia="仿宋"/>
          <w:color w:val="000000"/>
          <w:sz w:val="32"/>
          <w:szCs w:val="32"/>
          <w:shd w:val="clear" w:color="auto" w:fill="FFFFFF"/>
          <w:lang w:val="en-US" w:eastAsia="zh-CN"/>
        </w:rPr>
        <w:br w:type="textWrapping"/>
      </w:r>
      <w:r>
        <w:rPr>
          <w:rFonts w:hint="eastAsia" w:ascii="仿宋" w:hAnsi="仿宋" w:eastAsia="仿宋"/>
          <w:color w:val="000000"/>
          <w:sz w:val="32"/>
          <w:szCs w:val="32"/>
          <w:shd w:val="clear" w:color="auto" w:fill="FFFFFF"/>
          <w:lang w:val="en-US" w:eastAsia="zh-CN"/>
        </w:rPr>
        <w:t>　　早中期创新型企业是指符合如下条件的企业，即：职工人数不超过500人，资产总额不超过2亿元人民币，年销售额或营业额不超过2亿元人民币。</w:t>
      </w:r>
    </w:p>
    <w:p w14:paraId="5398E679">
      <w:pPr>
        <w:numPr>
          <w:ilvl w:val="0"/>
          <w:numId w:val="0"/>
        </w:numPr>
        <w:spacing w:line="560" w:lineRule="exact"/>
        <w:ind w:firstLine="640" w:firstLineChars="200"/>
        <w:rPr>
          <w:rFonts w:hint="eastAsia" w:ascii="仿宋" w:hAnsi="仿宋" w:eastAsia="仿宋"/>
          <w:color w:val="000000"/>
          <w:sz w:val="32"/>
          <w:szCs w:val="32"/>
          <w:shd w:val="clear" w:color="auto" w:fill="FFFFFF"/>
          <w:lang w:val="en-US" w:eastAsia="zh-CN"/>
        </w:rPr>
      </w:pPr>
      <w:r>
        <w:rPr>
          <w:rFonts w:hint="eastAsia" w:ascii="仿宋" w:hAnsi="仿宋" w:eastAsia="仿宋"/>
          <w:color w:val="000000"/>
          <w:sz w:val="32"/>
          <w:szCs w:val="32"/>
          <w:shd w:val="clear" w:color="auto" w:fill="FFFFFF"/>
          <w:lang w:val="en-US" w:eastAsia="zh-CN"/>
        </w:rPr>
        <w:t>（二）产</w:t>
      </w:r>
      <w:r>
        <w:rPr>
          <w:rFonts w:hint="eastAsia" w:ascii="仿宋" w:hAnsi="仿宋" w:eastAsia="仿宋"/>
          <w:color w:val="000000"/>
          <w:sz w:val="32"/>
          <w:szCs w:val="32"/>
          <w:shd w:val="clear" w:color="auto" w:fill="FFFFFF"/>
          <w:lang w:val="en-US" w:eastAsia="zh-CN"/>
        </w:rPr>
        <w:t>投类基金。产投基金围绕江岸区产业资源基础加快构建现代化产业体系，通过政府引导，撬动各类资本广 泛参与，支持重点产业延链补链强链，为江岸区产业转型升级和 经济高质量发展提供坚强支撑。</w:t>
      </w:r>
    </w:p>
    <w:p w14:paraId="57260AD6">
      <w:pPr>
        <w:numPr>
          <w:ilvl w:val="0"/>
          <w:numId w:val="0"/>
        </w:numPr>
        <w:spacing w:line="560" w:lineRule="exact"/>
        <w:ind w:firstLine="640" w:firstLineChars="200"/>
        <w:rPr>
          <w:rFonts w:hint="eastAsia"/>
          <w:shd w:val="clear" w:color="auto" w:fill="FFFFFF"/>
        </w:rPr>
      </w:pPr>
      <w:r>
        <w:rPr>
          <w:rFonts w:hint="default" w:ascii="仿宋" w:hAnsi="仿宋" w:eastAsia="仿宋"/>
          <w:color w:val="000000"/>
          <w:sz w:val="32"/>
          <w:szCs w:val="32"/>
          <w:shd w:val="clear" w:color="auto" w:fill="FFFFFF"/>
          <w:lang w:val="en-US" w:eastAsia="zh-CN"/>
        </w:rPr>
        <w:t>优先支持行业头部</w:t>
      </w:r>
      <w:r>
        <w:rPr>
          <w:rFonts w:hint="eastAsia" w:ascii="仿宋" w:hAnsi="仿宋" w:eastAsia="仿宋"/>
          <w:color w:val="000000"/>
          <w:sz w:val="32"/>
          <w:szCs w:val="32"/>
          <w:shd w:val="clear" w:color="auto" w:fill="FFFFFF"/>
          <w:lang w:val="en-US" w:eastAsia="zh-CN"/>
        </w:rPr>
        <w:t>创投</w:t>
      </w:r>
      <w:r>
        <w:rPr>
          <w:rFonts w:hint="default" w:ascii="仿宋" w:hAnsi="仿宋" w:eastAsia="仿宋"/>
          <w:color w:val="000000"/>
          <w:sz w:val="32"/>
          <w:szCs w:val="32"/>
          <w:shd w:val="clear" w:color="auto" w:fill="FFFFFF"/>
          <w:lang w:val="en-US" w:eastAsia="zh-CN"/>
        </w:rPr>
        <w:t>机构、CVC</w:t>
      </w:r>
      <w:r>
        <w:rPr>
          <w:rFonts w:hint="eastAsia" w:ascii="仿宋" w:hAnsi="仿宋" w:eastAsia="仿宋"/>
          <w:color w:val="000000"/>
          <w:sz w:val="32"/>
          <w:szCs w:val="32"/>
          <w:shd w:val="clear" w:color="auto" w:fill="FFFFFF"/>
          <w:lang w:val="en-US" w:eastAsia="zh-CN"/>
        </w:rPr>
        <w:t>创投</w:t>
      </w:r>
      <w:r>
        <w:rPr>
          <w:rFonts w:hint="default" w:ascii="仿宋" w:hAnsi="仿宋" w:eastAsia="仿宋"/>
          <w:color w:val="000000"/>
          <w:sz w:val="32"/>
          <w:szCs w:val="32"/>
          <w:shd w:val="clear" w:color="auto" w:fill="FFFFFF"/>
          <w:lang w:val="en-US" w:eastAsia="zh-CN"/>
        </w:rPr>
        <w:t>机构</w:t>
      </w:r>
      <w:r>
        <w:rPr>
          <w:rFonts w:hint="eastAsia" w:ascii="仿宋" w:hAnsi="仿宋" w:eastAsia="仿宋"/>
          <w:color w:val="000000"/>
          <w:sz w:val="32"/>
          <w:szCs w:val="32"/>
          <w:shd w:val="clear" w:color="auto" w:fill="FFFFFF"/>
          <w:lang w:val="en-US" w:eastAsia="zh-CN"/>
        </w:rPr>
        <w:t>以</w:t>
      </w:r>
      <w:r>
        <w:rPr>
          <w:rFonts w:hint="default" w:ascii="仿宋" w:hAnsi="仿宋" w:eastAsia="仿宋"/>
          <w:color w:val="000000"/>
          <w:sz w:val="32"/>
          <w:szCs w:val="32"/>
          <w:highlight w:val="none"/>
          <w:shd w:val="clear" w:color="auto" w:fill="FFFFFF"/>
          <w:lang w:val="en-US" w:eastAsia="zh-CN"/>
        </w:rPr>
        <w:t>及</w:t>
      </w:r>
      <w:r>
        <w:rPr>
          <w:rFonts w:hint="eastAsia" w:ascii="仿宋" w:hAnsi="仿宋" w:eastAsia="仿宋"/>
          <w:color w:val="000000"/>
          <w:sz w:val="32"/>
          <w:szCs w:val="32"/>
          <w:highlight w:val="none"/>
          <w:shd w:val="clear" w:color="auto" w:fill="FFFFFF"/>
          <w:lang w:val="en-US" w:eastAsia="zh-CN"/>
        </w:rPr>
        <w:t>本地创投机构在汉发起设立基金</w:t>
      </w:r>
      <w:r>
        <w:rPr>
          <w:rFonts w:hint="eastAsia" w:ascii="仿宋" w:hAnsi="仿宋" w:eastAsia="仿宋"/>
          <w:color w:val="000000"/>
          <w:sz w:val="32"/>
          <w:szCs w:val="32"/>
          <w:shd w:val="clear" w:color="auto" w:fill="FFFFFF"/>
        </w:rPr>
        <w:t>。</w:t>
      </w:r>
    </w:p>
    <w:p w14:paraId="7F0F01BA">
      <w:pPr>
        <w:pStyle w:val="42"/>
        <w:numPr>
          <w:ilvl w:val="0"/>
          <w:numId w:val="1"/>
        </w:numPr>
        <w:spacing w:line="560" w:lineRule="exact"/>
        <w:ind w:firstLineChars="0"/>
        <w:rPr>
          <w:rFonts w:hint="eastAsia" w:ascii="黑体" w:hAnsi="黑体" w:eastAsia="黑体" w:cs="黑体"/>
          <w:sz w:val="32"/>
          <w:szCs w:val="32"/>
        </w:rPr>
      </w:pPr>
      <w:r>
        <w:rPr>
          <w:rFonts w:hint="eastAsia" w:ascii="黑体" w:hAnsi="黑体" w:eastAsia="黑体" w:cs="黑体"/>
          <w:sz w:val="32"/>
          <w:szCs w:val="32"/>
        </w:rPr>
        <w:t>基金管理机构应具备的条件</w:t>
      </w:r>
    </w:p>
    <w:p w14:paraId="3B730B40">
      <w:pPr>
        <w:spacing w:line="560" w:lineRule="exact"/>
        <w:ind w:firstLine="640" w:firstLineChars="200"/>
        <w:rPr>
          <w:rFonts w:hint="default" w:ascii="仿宋" w:hAnsi="仿宋" w:eastAsia="仿宋"/>
          <w:color w:val="000000"/>
          <w:sz w:val="32"/>
          <w:szCs w:val="32"/>
          <w:shd w:val="clear" w:color="auto" w:fill="FFFFFF"/>
          <w:lang w:val="en-US" w:eastAsia="zh-CN"/>
        </w:rPr>
      </w:pPr>
      <w:r>
        <w:rPr>
          <w:rFonts w:hint="eastAsia" w:ascii="仿宋" w:hAnsi="仿宋" w:eastAsia="仿宋"/>
          <w:color w:val="000000"/>
          <w:sz w:val="32"/>
          <w:szCs w:val="32"/>
          <w:shd w:val="clear" w:color="auto" w:fill="FFFFFF"/>
          <w:lang w:val="en-US" w:eastAsia="zh-CN"/>
        </w:rPr>
        <w:t>江岸</w:t>
      </w:r>
      <w:r>
        <w:rPr>
          <w:rFonts w:hint="eastAsia" w:ascii="仿宋" w:hAnsi="仿宋" w:eastAsia="仿宋"/>
          <w:color w:val="000000"/>
          <w:sz w:val="32"/>
          <w:szCs w:val="32"/>
          <w:shd w:val="clear" w:color="auto" w:fill="FFFFFF"/>
        </w:rPr>
        <w:t>基金参</w:t>
      </w:r>
      <w:r>
        <w:rPr>
          <w:rFonts w:hint="eastAsia" w:ascii="仿宋" w:hAnsi="仿宋" w:eastAsia="仿宋"/>
          <w:color w:val="000000"/>
          <w:sz w:val="32"/>
          <w:szCs w:val="32"/>
          <w:shd w:val="clear" w:color="auto" w:fill="FFFFFF"/>
          <w:lang w:val="en-US" w:eastAsia="zh-CN"/>
        </w:rPr>
        <w:t>投</w:t>
      </w:r>
      <w:r>
        <w:rPr>
          <w:rFonts w:hint="eastAsia" w:ascii="仿宋" w:hAnsi="仿宋" w:eastAsia="仿宋"/>
          <w:color w:val="000000"/>
          <w:sz w:val="32"/>
          <w:szCs w:val="32"/>
          <w:shd w:val="clear" w:color="auto" w:fill="FFFFFF"/>
        </w:rPr>
        <w:t>的母、子基金管理人</w:t>
      </w:r>
      <w:r>
        <w:rPr>
          <w:rFonts w:hint="eastAsia" w:ascii="仿宋" w:hAnsi="仿宋" w:eastAsia="仿宋"/>
          <w:color w:val="000000"/>
          <w:sz w:val="32"/>
          <w:szCs w:val="32"/>
          <w:shd w:val="clear" w:color="auto" w:fill="FFFFFF"/>
          <w:lang w:val="en-US" w:eastAsia="zh-CN"/>
        </w:rPr>
        <w:t>应当具备与基金运作方式相适应的专业能力、投资能力和管理能力，</w:t>
      </w:r>
      <w:r>
        <w:rPr>
          <w:rFonts w:hint="eastAsia" w:ascii="仿宋" w:hAnsi="仿宋" w:eastAsia="仿宋"/>
          <w:color w:val="000000" w:themeColor="text1"/>
          <w:sz w:val="32"/>
          <w:szCs w:val="32"/>
          <w:shd w:val="clear" w:color="auto" w:fill="FFFFFF"/>
          <w:lang w:val="en-US" w:eastAsia="zh-CN"/>
          <w14:textFill>
            <w14:solidFill>
              <w14:schemeClr w14:val="tx1"/>
            </w14:solidFill>
          </w14:textFill>
        </w:rPr>
        <w:t>应当具备以下条件</w:t>
      </w:r>
      <w:r>
        <w:rPr>
          <w:rFonts w:hint="eastAsia" w:ascii="仿宋" w:hAnsi="仿宋" w:eastAsia="仿宋"/>
          <w:color w:val="000000"/>
          <w:sz w:val="32"/>
          <w:szCs w:val="32"/>
          <w:shd w:val="clear" w:color="auto" w:fill="FFFFFF"/>
          <w:lang w:val="en-US" w:eastAsia="zh-CN"/>
        </w:rPr>
        <w:t>：</w:t>
      </w:r>
    </w:p>
    <w:p w14:paraId="589CE564">
      <w:pPr>
        <w:numPr>
          <w:numId w:val="0"/>
        </w:numPr>
        <w:spacing w:line="560" w:lineRule="exact"/>
        <w:ind w:firstLine="640" w:firstLineChars="200"/>
        <w:rPr>
          <w:rFonts w:hint="eastAsia" w:ascii="仿宋" w:hAnsi="仿宋" w:eastAsia="仿宋"/>
          <w:color w:val="000000"/>
          <w:sz w:val="32"/>
          <w:szCs w:val="32"/>
          <w:shd w:val="clear" w:color="auto" w:fill="FFFFFF"/>
        </w:rPr>
      </w:pPr>
      <w:r>
        <w:rPr>
          <w:rFonts w:hint="eastAsia" w:ascii="仿宋" w:hAnsi="仿宋" w:eastAsia="仿宋"/>
          <w:color w:val="000000"/>
          <w:sz w:val="32"/>
          <w:szCs w:val="32"/>
          <w:shd w:val="clear" w:color="auto" w:fill="FFFFFF"/>
          <w:lang w:val="en-US" w:eastAsia="zh-CN"/>
        </w:rPr>
        <w:t>1.</w:t>
      </w:r>
      <w:r>
        <w:rPr>
          <w:rFonts w:hint="eastAsia" w:ascii="仿宋" w:hAnsi="仿宋" w:eastAsia="仿宋"/>
          <w:color w:val="000000"/>
          <w:sz w:val="32"/>
          <w:szCs w:val="32"/>
          <w:shd w:val="clear" w:color="auto" w:fill="FFFFFF"/>
        </w:rPr>
        <w:t>在</w:t>
      </w:r>
      <w:r>
        <w:rPr>
          <w:rFonts w:hint="eastAsia" w:ascii="仿宋" w:hAnsi="仿宋" w:eastAsia="仿宋"/>
          <w:color w:val="000000"/>
          <w:sz w:val="32"/>
          <w:szCs w:val="32"/>
          <w:shd w:val="clear" w:color="auto" w:fill="FFFFFF"/>
          <w:lang w:val="en-US" w:eastAsia="zh-CN"/>
        </w:rPr>
        <w:t>中国大陆依法设立的公司或合伙企业</w:t>
      </w:r>
      <w:r>
        <w:rPr>
          <w:rFonts w:hint="eastAsia" w:ascii="仿宋" w:hAnsi="仿宋" w:eastAsia="仿宋"/>
          <w:color w:val="000000"/>
          <w:sz w:val="32"/>
          <w:szCs w:val="32"/>
          <w:shd w:val="clear" w:color="auto" w:fill="FFFFFF"/>
        </w:rPr>
        <w:t>，实缴</w:t>
      </w:r>
      <w:r>
        <w:rPr>
          <w:rFonts w:hint="eastAsia" w:ascii="仿宋" w:hAnsi="仿宋" w:eastAsia="仿宋"/>
          <w:color w:val="000000"/>
          <w:sz w:val="32"/>
          <w:szCs w:val="32"/>
          <w:shd w:val="clear" w:color="auto" w:fill="FFFFFF"/>
          <w:lang w:val="en-US" w:eastAsia="zh-CN"/>
        </w:rPr>
        <w:t>货币出资不低于1000万元且与所管理基金规模相匹配；</w:t>
      </w:r>
    </w:p>
    <w:p w14:paraId="444DD732">
      <w:pPr>
        <w:numPr>
          <w:numId w:val="0"/>
        </w:numPr>
        <w:spacing w:line="560" w:lineRule="exact"/>
        <w:ind w:firstLine="640" w:firstLineChars="200"/>
        <w:rPr>
          <w:rFonts w:hint="eastAsia" w:ascii="仿宋" w:hAnsi="仿宋" w:eastAsia="仿宋"/>
          <w:color w:val="000000"/>
          <w:sz w:val="32"/>
          <w:szCs w:val="32"/>
          <w:shd w:val="clear" w:color="auto" w:fill="FFFFFF"/>
        </w:rPr>
      </w:pPr>
      <w:r>
        <w:rPr>
          <w:rFonts w:hint="eastAsia" w:ascii="仿宋" w:hAnsi="仿宋" w:eastAsia="仿宋"/>
          <w:color w:val="000000"/>
          <w:sz w:val="32"/>
          <w:szCs w:val="32"/>
          <w:shd w:val="clear" w:color="auto" w:fill="FFFFFF"/>
          <w:lang w:val="en-US" w:eastAsia="zh-CN"/>
        </w:rPr>
        <w:t>2.已在中国证券投资基金业协会登记为私募基金管理人；</w:t>
      </w:r>
    </w:p>
    <w:p w14:paraId="64795176">
      <w:pPr>
        <w:numPr>
          <w:numId w:val="0"/>
        </w:numPr>
        <w:spacing w:line="560" w:lineRule="exact"/>
        <w:ind w:firstLine="640" w:firstLineChars="200"/>
        <w:rPr>
          <w:rFonts w:hint="eastAsia" w:ascii="仿宋" w:hAnsi="仿宋" w:eastAsia="仿宋"/>
          <w:color w:val="000000"/>
          <w:sz w:val="32"/>
          <w:szCs w:val="32"/>
          <w:shd w:val="clear" w:color="auto" w:fill="FFFFFF"/>
        </w:rPr>
      </w:pPr>
      <w:r>
        <w:rPr>
          <w:rFonts w:hint="eastAsia" w:ascii="仿宋" w:hAnsi="仿宋" w:eastAsia="仿宋"/>
          <w:color w:val="000000"/>
          <w:sz w:val="32"/>
          <w:szCs w:val="32"/>
          <w:shd w:val="clear" w:color="auto" w:fill="FFFFFF"/>
          <w:lang w:val="en-US" w:eastAsia="zh-CN"/>
        </w:rPr>
        <w:t>3.</w:t>
      </w:r>
      <w:r>
        <w:rPr>
          <w:rFonts w:hint="eastAsia" w:ascii="仿宋" w:hAnsi="仿宋" w:eastAsia="仿宋"/>
          <w:color w:val="000000"/>
          <w:sz w:val="32"/>
          <w:szCs w:val="32"/>
          <w:shd w:val="clear" w:color="auto" w:fill="FFFFFF"/>
        </w:rPr>
        <w:t>有健全的股权投资管理和风险控制</w:t>
      </w:r>
      <w:r>
        <w:rPr>
          <w:rFonts w:hint="eastAsia" w:ascii="仿宋" w:hAnsi="仿宋" w:eastAsia="仿宋"/>
          <w:color w:val="000000"/>
          <w:sz w:val="32"/>
          <w:szCs w:val="32"/>
          <w:shd w:val="clear" w:color="auto" w:fill="FFFFFF"/>
          <w:lang w:val="en-US" w:eastAsia="zh-CN"/>
        </w:rPr>
        <w:t>流程</w:t>
      </w:r>
      <w:r>
        <w:rPr>
          <w:rFonts w:hint="eastAsia" w:ascii="仿宋" w:hAnsi="仿宋" w:eastAsia="仿宋"/>
          <w:color w:val="000000"/>
          <w:sz w:val="32"/>
          <w:szCs w:val="32"/>
          <w:shd w:val="clear" w:color="auto" w:fill="FFFFFF"/>
          <w:lang w:eastAsia="zh-CN"/>
        </w:rPr>
        <w:t>、</w:t>
      </w:r>
      <w:r>
        <w:rPr>
          <w:rFonts w:hint="eastAsia" w:ascii="仿宋" w:hAnsi="仿宋" w:eastAsia="仿宋"/>
          <w:color w:val="000000"/>
          <w:sz w:val="32"/>
          <w:szCs w:val="32"/>
          <w:shd w:val="clear" w:color="auto" w:fill="FFFFFF"/>
        </w:rPr>
        <w:t>规范的项目遴选和投资决策</w:t>
      </w:r>
      <w:r>
        <w:rPr>
          <w:rFonts w:hint="eastAsia" w:ascii="仿宋" w:hAnsi="仿宋" w:eastAsia="仿宋"/>
          <w:color w:val="000000"/>
          <w:sz w:val="32"/>
          <w:szCs w:val="32"/>
          <w:shd w:val="clear" w:color="auto" w:fill="FFFFFF"/>
          <w:lang w:val="en-US" w:eastAsia="zh-CN"/>
        </w:rPr>
        <w:t>制度；</w:t>
      </w:r>
    </w:p>
    <w:p w14:paraId="21A54ABC">
      <w:pPr>
        <w:numPr>
          <w:numId w:val="0"/>
        </w:numPr>
        <w:spacing w:line="560" w:lineRule="exact"/>
        <w:ind w:firstLine="640" w:firstLineChars="200"/>
        <w:rPr>
          <w:rFonts w:hint="eastAsia" w:ascii="仿宋" w:hAnsi="仿宋" w:eastAsia="仿宋"/>
          <w:color w:val="000000"/>
          <w:sz w:val="32"/>
          <w:szCs w:val="32"/>
          <w:shd w:val="clear" w:color="auto" w:fill="FFFFFF"/>
          <w:lang w:eastAsia="zh-CN"/>
        </w:rPr>
      </w:pPr>
      <w:r>
        <w:rPr>
          <w:rFonts w:hint="eastAsia" w:ascii="仿宋" w:hAnsi="仿宋" w:eastAsia="仿宋"/>
          <w:color w:val="000000"/>
          <w:sz w:val="32"/>
          <w:szCs w:val="32"/>
          <w:shd w:val="clear" w:color="auto" w:fill="FFFFFF"/>
          <w:lang w:val="en-US" w:eastAsia="zh-CN"/>
        </w:rPr>
        <w:t>4.管理团队</w:t>
      </w:r>
      <w:r>
        <w:rPr>
          <w:rFonts w:hint="eastAsia" w:ascii="仿宋" w:hAnsi="仿宋" w:eastAsia="仿宋"/>
          <w:color w:val="000000"/>
          <w:sz w:val="32"/>
          <w:szCs w:val="32"/>
          <w:shd w:val="clear" w:color="auto" w:fill="FFFFFF"/>
        </w:rPr>
        <w:t>至少</w:t>
      </w:r>
      <w:r>
        <w:rPr>
          <w:rFonts w:hint="eastAsia" w:ascii="仿宋" w:hAnsi="仿宋" w:eastAsia="仿宋"/>
          <w:color w:val="000000"/>
          <w:sz w:val="32"/>
          <w:szCs w:val="32"/>
          <w:shd w:val="clear" w:color="auto" w:fill="FFFFFF"/>
          <w:lang w:val="en-US" w:eastAsia="zh-CN"/>
        </w:rPr>
        <w:t>有3</w:t>
      </w:r>
      <w:r>
        <w:rPr>
          <w:rFonts w:hint="eastAsia" w:ascii="仿宋" w:hAnsi="仿宋" w:eastAsia="仿宋"/>
          <w:color w:val="000000"/>
          <w:sz w:val="32"/>
          <w:szCs w:val="32"/>
          <w:shd w:val="clear" w:color="auto" w:fill="FFFFFF"/>
        </w:rPr>
        <w:t>名具备5年以上股权投资或</w:t>
      </w:r>
      <w:r>
        <w:rPr>
          <w:rFonts w:hint="eastAsia" w:ascii="仿宋" w:hAnsi="仿宋" w:eastAsia="仿宋"/>
          <w:color w:val="000000"/>
          <w:sz w:val="32"/>
          <w:szCs w:val="32"/>
          <w:shd w:val="clear" w:color="auto" w:fill="FFFFFF"/>
          <w:lang w:val="en-US" w:eastAsia="zh-CN"/>
        </w:rPr>
        <w:t>基金管理工作</w:t>
      </w:r>
      <w:r>
        <w:rPr>
          <w:rFonts w:hint="eastAsia" w:ascii="仿宋" w:hAnsi="仿宋" w:eastAsia="仿宋"/>
          <w:color w:val="000000"/>
          <w:sz w:val="32"/>
          <w:szCs w:val="32"/>
          <w:shd w:val="clear" w:color="auto" w:fill="FFFFFF"/>
        </w:rPr>
        <w:t>经验</w:t>
      </w:r>
      <w:r>
        <w:rPr>
          <w:rFonts w:hint="eastAsia" w:ascii="仿宋" w:hAnsi="仿宋" w:eastAsia="仿宋"/>
          <w:color w:val="000000"/>
          <w:sz w:val="32"/>
          <w:szCs w:val="32"/>
          <w:shd w:val="clear" w:color="auto" w:fill="FFFFFF"/>
          <w:lang w:eastAsia="zh-CN"/>
        </w:rPr>
        <w:t>、</w:t>
      </w:r>
      <w:r>
        <w:rPr>
          <w:rFonts w:hint="eastAsia" w:ascii="仿宋" w:hAnsi="仿宋" w:eastAsia="仿宋"/>
          <w:color w:val="000000"/>
          <w:sz w:val="32"/>
          <w:szCs w:val="32"/>
          <w:shd w:val="clear" w:color="auto" w:fill="FFFFFF"/>
          <w:lang w:val="en-US" w:eastAsia="zh-CN"/>
        </w:rPr>
        <w:t>具备良好管理业绩和职业操守信誉的</w:t>
      </w:r>
      <w:r>
        <w:rPr>
          <w:rFonts w:hint="eastAsia" w:ascii="仿宋" w:hAnsi="仿宋" w:eastAsia="仿宋"/>
          <w:color w:val="000000"/>
          <w:sz w:val="32"/>
          <w:szCs w:val="32"/>
          <w:shd w:val="clear" w:color="auto" w:fill="FFFFFF"/>
        </w:rPr>
        <w:t>专职高级管理人员</w:t>
      </w:r>
      <w:r>
        <w:rPr>
          <w:rFonts w:hint="eastAsia" w:ascii="仿宋" w:hAnsi="仿宋" w:eastAsia="仿宋"/>
          <w:color w:val="000000"/>
          <w:sz w:val="32"/>
          <w:szCs w:val="32"/>
          <w:shd w:val="clear" w:color="auto" w:fill="FFFFFF"/>
          <w:lang w:eastAsia="zh-CN"/>
        </w:rPr>
        <w:t>；</w:t>
      </w:r>
    </w:p>
    <w:p w14:paraId="5360F6B6">
      <w:pPr>
        <w:numPr>
          <w:numId w:val="0"/>
        </w:numPr>
        <w:spacing w:line="560" w:lineRule="exact"/>
        <w:ind w:firstLine="640" w:firstLineChars="200"/>
        <w:rPr>
          <w:rFonts w:hint="eastAsia" w:ascii="仿宋" w:hAnsi="仿宋" w:eastAsia="仿宋"/>
          <w:color w:val="000000"/>
          <w:sz w:val="32"/>
          <w:szCs w:val="32"/>
          <w:shd w:val="clear" w:color="auto" w:fill="FFFFFF"/>
          <w:lang w:val="en-US" w:eastAsia="zh-CN"/>
        </w:rPr>
      </w:pPr>
      <w:r>
        <w:rPr>
          <w:rFonts w:hint="eastAsia" w:ascii="仿宋" w:hAnsi="仿宋" w:eastAsia="仿宋"/>
          <w:color w:val="000000"/>
          <w:sz w:val="32"/>
          <w:szCs w:val="32"/>
          <w:shd w:val="clear" w:color="auto" w:fill="FFFFFF"/>
          <w:lang w:val="en-US" w:eastAsia="zh-CN"/>
        </w:rPr>
        <w:t>5.有与江岸基金投资领域和方向匹配的项目储备；</w:t>
      </w:r>
    </w:p>
    <w:p w14:paraId="752646C1">
      <w:pPr>
        <w:numPr>
          <w:numId w:val="0"/>
        </w:numPr>
        <w:spacing w:line="560" w:lineRule="exact"/>
        <w:ind w:firstLine="640" w:firstLineChars="200"/>
        <w:rPr>
          <w:rFonts w:hint="eastAsia" w:ascii="仿宋" w:hAnsi="仿宋" w:eastAsia="仿宋"/>
          <w:color w:val="000000"/>
          <w:sz w:val="32"/>
          <w:szCs w:val="32"/>
          <w:shd w:val="clear" w:color="auto" w:fill="FFFFFF"/>
        </w:rPr>
      </w:pPr>
      <w:r>
        <w:rPr>
          <w:rFonts w:hint="eastAsia" w:ascii="仿宋" w:hAnsi="仿宋" w:eastAsia="仿宋"/>
          <w:color w:val="000000"/>
          <w:sz w:val="32"/>
          <w:szCs w:val="32"/>
          <w:shd w:val="clear" w:color="auto" w:fill="FFFFFF"/>
          <w:lang w:val="en-US" w:eastAsia="zh-CN"/>
        </w:rPr>
        <w:t>6.有政府投资基金规模相匹配的资金筹集能力；</w:t>
      </w:r>
    </w:p>
    <w:p w14:paraId="4C8A0242">
      <w:pPr>
        <w:numPr>
          <w:numId w:val="0"/>
        </w:numPr>
        <w:spacing w:line="560" w:lineRule="exact"/>
        <w:ind w:firstLine="640" w:firstLineChars="200"/>
        <w:rPr>
          <w:rFonts w:hint="eastAsia" w:ascii="仿宋" w:hAnsi="仿宋" w:eastAsia="仿宋"/>
          <w:color w:val="000000"/>
          <w:sz w:val="32"/>
          <w:szCs w:val="32"/>
          <w:shd w:val="clear" w:color="auto" w:fill="FFFFFF"/>
        </w:rPr>
      </w:pPr>
      <w:r>
        <w:rPr>
          <w:rFonts w:hint="eastAsia" w:ascii="仿宋" w:hAnsi="仿宋" w:eastAsia="仿宋"/>
          <w:color w:val="000000"/>
          <w:sz w:val="32"/>
          <w:szCs w:val="32"/>
          <w:shd w:val="clear" w:color="auto" w:fill="FFFFFF"/>
          <w:lang w:val="en-US" w:eastAsia="zh-CN"/>
        </w:rPr>
        <w:t>7.基金管理人及其董事、监事、高级管理人员及其他从业人员在最近3年无重大违法违规行为；</w:t>
      </w:r>
    </w:p>
    <w:p w14:paraId="28C5D5A6">
      <w:pPr>
        <w:numPr>
          <w:numId w:val="0"/>
        </w:numPr>
        <w:spacing w:line="560" w:lineRule="exact"/>
        <w:ind w:firstLine="640" w:firstLineChars="200"/>
        <w:rPr>
          <w:rFonts w:hint="eastAsia" w:ascii="仿宋" w:hAnsi="仿宋" w:eastAsia="仿宋"/>
          <w:color w:val="000000"/>
          <w:sz w:val="32"/>
          <w:szCs w:val="32"/>
          <w:shd w:val="clear" w:color="auto" w:fill="FFFFFF"/>
        </w:rPr>
      </w:pPr>
      <w:r>
        <w:rPr>
          <w:rFonts w:hint="eastAsia" w:ascii="仿宋" w:hAnsi="仿宋" w:eastAsia="仿宋"/>
          <w:color w:val="000000"/>
          <w:sz w:val="32"/>
          <w:szCs w:val="32"/>
          <w:shd w:val="clear" w:color="auto" w:fill="FFFFFF"/>
          <w:lang w:val="en-US" w:eastAsia="zh-CN"/>
        </w:rPr>
        <w:t>8.有良好的投资管理业绩。其中，创投类基金管理人团队累计管理投资基金规模不低于2亿元人民币，</w:t>
      </w:r>
      <w:r>
        <w:rPr>
          <w:rFonts w:hint="eastAsia" w:ascii="仿宋" w:hAnsi="仿宋" w:eastAsia="仿宋"/>
          <w:color w:val="000000"/>
          <w:sz w:val="32"/>
          <w:szCs w:val="32"/>
          <w:shd w:val="clear" w:color="auto" w:fill="FFFFFF"/>
        </w:rPr>
        <w:t>至少有3个（含）以上符合</w:t>
      </w:r>
      <w:r>
        <w:rPr>
          <w:rFonts w:hint="eastAsia" w:ascii="仿宋" w:hAnsi="仿宋" w:eastAsia="仿宋"/>
          <w:color w:val="000000"/>
          <w:sz w:val="32"/>
          <w:szCs w:val="32"/>
          <w:shd w:val="clear" w:color="auto" w:fill="FFFFFF"/>
          <w:lang w:val="en-US" w:eastAsia="zh-CN"/>
        </w:rPr>
        <w:t>江岸</w:t>
      </w:r>
      <w:r>
        <w:rPr>
          <w:rFonts w:hint="eastAsia" w:ascii="仿宋" w:hAnsi="仿宋" w:eastAsia="仿宋"/>
          <w:color w:val="000000"/>
          <w:sz w:val="32"/>
          <w:szCs w:val="32"/>
          <w:shd w:val="clear" w:color="auto" w:fill="FFFFFF"/>
        </w:rPr>
        <w:t>基金投向成功投资的股权投资案例的证明材料（成功案例指基金投资单个项目股权退出总收益不低于20%，或在投项目公允价值收益50%以上）</w:t>
      </w:r>
      <w:r>
        <w:rPr>
          <w:rFonts w:hint="eastAsia" w:ascii="仿宋" w:hAnsi="仿宋" w:eastAsia="仿宋"/>
          <w:color w:val="000000"/>
          <w:sz w:val="32"/>
          <w:szCs w:val="32"/>
          <w:shd w:val="clear" w:color="auto" w:fill="FFFFFF"/>
          <w:lang w:eastAsia="zh-CN"/>
        </w:rPr>
        <w:t>；</w:t>
      </w:r>
      <w:r>
        <w:rPr>
          <w:rFonts w:hint="eastAsia" w:ascii="仿宋" w:hAnsi="仿宋" w:eastAsia="仿宋"/>
          <w:color w:val="000000"/>
          <w:sz w:val="32"/>
          <w:szCs w:val="32"/>
          <w:shd w:val="clear" w:color="auto" w:fill="FFFFFF"/>
          <w:lang w:val="en-US" w:eastAsia="zh-CN"/>
        </w:rPr>
        <w:t>产业类基金管理人团队累计管理投资基金规模不低于5亿元人民币，</w:t>
      </w:r>
      <w:r>
        <w:rPr>
          <w:rFonts w:hint="eastAsia" w:ascii="仿宋" w:hAnsi="仿宋" w:eastAsia="仿宋"/>
          <w:color w:val="000000"/>
          <w:sz w:val="32"/>
          <w:szCs w:val="32"/>
          <w:shd w:val="clear" w:color="auto" w:fill="FFFFFF"/>
        </w:rPr>
        <w:t>至少有</w:t>
      </w:r>
      <w:r>
        <w:rPr>
          <w:rFonts w:hint="eastAsia" w:ascii="仿宋" w:hAnsi="仿宋" w:eastAsia="仿宋"/>
          <w:color w:val="000000"/>
          <w:sz w:val="32"/>
          <w:szCs w:val="32"/>
          <w:shd w:val="clear" w:color="auto" w:fill="FFFFFF"/>
          <w:lang w:val="en-US" w:eastAsia="zh-CN"/>
        </w:rPr>
        <w:t>5</w:t>
      </w:r>
      <w:r>
        <w:rPr>
          <w:rFonts w:hint="eastAsia" w:ascii="仿宋" w:hAnsi="仿宋" w:eastAsia="仿宋"/>
          <w:color w:val="000000"/>
          <w:sz w:val="32"/>
          <w:szCs w:val="32"/>
          <w:shd w:val="clear" w:color="auto" w:fill="FFFFFF"/>
        </w:rPr>
        <w:t>个（含）以上符合</w:t>
      </w:r>
      <w:r>
        <w:rPr>
          <w:rFonts w:hint="eastAsia" w:ascii="仿宋" w:hAnsi="仿宋" w:eastAsia="仿宋"/>
          <w:color w:val="000000"/>
          <w:sz w:val="32"/>
          <w:szCs w:val="32"/>
          <w:shd w:val="clear" w:color="auto" w:fill="FFFFFF"/>
          <w:lang w:val="en-US" w:eastAsia="zh-CN"/>
        </w:rPr>
        <w:t>江岸</w:t>
      </w:r>
      <w:r>
        <w:rPr>
          <w:rFonts w:hint="eastAsia" w:ascii="仿宋" w:hAnsi="仿宋" w:eastAsia="仿宋"/>
          <w:color w:val="000000"/>
          <w:sz w:val="32"/>
          <w:szCs w:val="32"/>
          <w:shd w:val="clear" w:color="auto" w:fill="FFFFFF"/>
        </w:rPr>
        <w:t>基金投向成功投资的股权投资案例的证明材料</w:t>
      </w:r>
      <w:r>
        <w:rPr>
          <w:rFonts w:hint="eastAsia" w:ascii="仿宋" w:hAnsi="仿宋" w:eastAsia="仿宋"/>
          <w:color w:val="000000"/>
          <w:sz w:val="32"/>
          <w:szCs w:val="32"/>
          <w:shd w:val="clear" w:color="auto" w:fill="FFFFFF"/>
          <w:lang w:eastAsia="zh-CN"/>
        </w:rPr>
        <w:t>；</w:t>
      </w:r>
    </w:p>
    <w:p w14:paraId="479337A2">
      <w:pPr>
        <w:numPr>
          <w:numId w:val="0"/>
        </w:numPr>
        <w:spacing w:line="560" w:lineRule="exact"/>
        <w:ind w:firstLine="640" w:firstLineChars="200"/>
        <w:rPr>
          <w:rFonts w:hint="eastAsia" w:ascii="仿宋" w:hAnsi="仿宋" w:eastAsia="仿宋"/>
          <w:color w:val="000000"/>
          <w:sz w:val="32"/>
          <w:szCs w:val="32"/>
          <w:shd w:val="clear" w:color="auto" w:fill="FFFFFF"/>
        </w:rPr>
      </w:pPr>
      <w:r>
        <w:rPr>
          <w:rFonts w:hint="eastAsia" w:ascii="仿宋" w:hAnsi="仿宋" w:eastAsia="仿宋"/>
          <w:color w:val="000000"/>
          <w:sz w:val="32"/>
          <w:szCs w:val="32"/>
          <w:shd w:val="clear" w:color="auto" w:fill="FFFFFF"/>
          <w:lang w:val="en-US" w:eastAsia="zh-CN"/>
        </w:rPr>
        <w:t>9.符合法律法规、中国证券投资基金业协会规定的其他条件。</w:t>
      </w:r>
    </w:p>
    <w:p w14:paraId="7B5ED689">
      <w:pPr>
        <w:pStyle w:val="42"/>
        <w:numPr>
          <w:ilvl w:val="255"/>
          <w:numId w:val="0"/>
        </w:numPr>
        <w:spacing w:line="560" w:lineRule="exact"/>
        <w:ind w:left="-17" w:firstLine="640" w:firstLineChars="200"/>
        <w:rPr>
          <w:rFonts w:hint="default" w:ascii="黑体" w:hAnsi="黑体" w:eastAsia="黑体" w:cs="黑体"/>
          <w:sz w:val="32"/>
          <w:szCs w:val="32"/>
          <w:lang w:val="en-US" w:eastAsia="zh-CN"/>
        </w:rPr>
      </w:pPr>
      <w:r>
        <w:rPr>
          <w:rFonts w:hint="eastAsia" w:ascii="黑体" w:hAnsi="黑体" w:eastAsia="黑体" w:cs="黑体"/>
          <w:sz w:val="32"/>
          <w:szCs w:val="32"/>
        </w:rPr>
        <w:t>三、</w:t>
      </w:r>
      <w:r>
        <w:rPr>
          <w:rFonts w:hint="eastAsia" w:ascii="黑体" w:hAnsi="黑体" w:eastAsia="黑体" w:cs="黑体"/>
          <w:sz w:val="32"/>
          <w:szCs w:val="32"/>
          <w:lang w:val="en-US" w:eastAsia="zh-CN"/>
        </w:rPr>
        <w:t>设立</w:t>
      </w:r>
      <w:r>
        <w:rPr>
          <w:rFonts w:hint="eastAsia" w:ascii="黑体" w:hAnsi="黑体" w:eastAsia="黑体" w:cs="黑体"/>
          <w:sz w:val="32"/>
          <w:szCs w:val="32"/>
        </w:rPr>
        <w:t>母、子基金</w:t>
      </w:r>
      <w:r>
        <w:rPr>
          <w:rFonts w:hint="eastAsia" w:ascii="黑体" w:hAnsi="黑体" w:eastAsia="黑体" w:cs="黑体"/>
          <w:sz w:val="32"/>
          <w:szCs w:val="32"/>
          <w:lang w:val="en-US" w:eastAsia="zh-CN"/>
        </w:rPr>
        <w:t>有关要求</w:t>
      </w:r>
    </w:p>
    <w:p w14:paraId="40F6AE26">
      <w:pPr>
        <w:spacing w:line="560" w:lineRule="exact"/>
        <w:ind w:firstLine="640" w:firstLineChars="200"/>
        <w:rPr>
          <w:rFonts w:hint="eastAsia" w:ascii="仿宋" w:hAnsi="仿宋" w:eastAsia="仿宋"/>
          <w:color w:val="000000"/>
          <w:sz w:val="32"/>
          <w:szCs w:val="32"/>
          <w:shd w:val="clear" w:color="auto" w:fill="FFFFFF"/>
        </w:rPr>
      </w:pPr>
      <w:r>
        <w:rPr>
          <w:rFonts w:hint="eastAsia" w:ascii="仿宋" w:hAnsi="仿宋" w:eastAsia="仿宋"/>
          <w:color w:val="000000"/>
          <w:sz w:val="32"/>
          <w:szCs w:val="32"/>
          <w:shd w:val="clear" w:color="auto" w:fill="FFFFFF"/>
          <w:lang w:val="en-US" w:eastAsia="zh-CN"/>
        </w:rPr>
        <w:t>江岸</w:t>
      </w:r>
      <w:r>
        <w:rPr>
          <w:rFonts w:hint="eastAsia" w:ascii="仿宋" w:hAnsi="仿宋" w:eastAsia="仿宋"/>
          <w:color w:val="000000"/>
          <w:sz w:val="32"/>
          <w:szCs w:val="32"/>
          <w:shd w:val="clear" w:color="auto" w:fill="FFFFFF"/>
        </w:rPr>
        <w:t>基金参</w:t>
      </w:r>
      <w:r>
        <w:rPr>
          <w:rFonts w:hint="eastAsia" w:ascii="仿宋" w:hAnsi="仿宋" w:eastAsia="仿宋"/>
          <w:color w:val="000000"/>
          <w:sz w:val="32"/>
          <w:szCs w:val="32"/>
          <w:shd w:val="clear" w:color="auto" w:fill="FFFFFF"/>
          <w:lang w:val="en-US" w:eastAsia="zh-CN"/>
        </w:rPr>
        <w:t>投</w:t>
      </w:r>
      <w:r>
        <w:rPr>
          <w:rFonts w:hint="eastAsia" w:ascii="仿宋" w:hAnsi="仿宋" w:eastAsia="仿宋"/>
          <w:color w:val="000000"/>
          <w:sz w:val="32"/>
          <w:szCs w:val="32"/>
          <w:shd w:val="clear" w:color="auto" w:fill="FFFFFF"/>
        </w:rPr>
        <w:t>设立母、子基金或对已设立母、子基金增资，母、子基金应符合以下条件：</w:t>
      </w:r>
    </w:p>
    <w:p w14:paraId="1F83100B">
      <w:pPr>
        <w:spacing w:line="560" w:lineRule="exact"/>
        <w:ind w:firstLine="640" w:firstLineChars="200"/>
        <w:rPr>
          <w:rFonts w:hint="eastAsia" w:ascii="仿宋" w:hAnsi="仿宋" w:eastAsia="仿宋"/>
          <w:color w:val="000000"/>
          <w:sz w:val="32"/>
          <w:szCs w:val="32"/>
          <w:shd w:val="clear" w:color="auto" w:fill="FFFFFF"/>
        </w:rPr>
      </w:pPr>
      <w:r>
        <w:rPr>
          <w:rFonts w:ascii="仿宋" w:hAnsi="仿宋" w:eastAsia="仿宋"/>
          <w:color w:val="000000"/>
          <w:sz w:val="32"/>
          <w:szCs w:val="32"/>
          <w:shd w:val="clear" w:color="auto" w:fill="FFFFFF"/>
        </w:rPr>
        <w:t>（</w:t>
      </w:r>
      <w:r>
        <w:rPr>
          <w:rFonts w:hint="eastAsia" w:ascii="仿宋" w:hAnsi="仿宋" w:eastAsia="仿宋"/>
          <w:color w:val="000000"/>
          <w:sz w:val="32"/>
          <w:szCs w:val="32"/>
          <w:shd w:val="clear" w:color="auto" w:fill="FFFFFF"/>
          <w:lang w:val="en-US" w:eastAsia="zh-CN"/>
        </w:rPr>
        <w:t>一</w:t>
      </w:r>
      <w:r>
        <w:rPr>
          <w:rFonts w:ascii="仿宋" w:hAnsi="仿宋" w:eastAsia="仿宋"/>
          <w:color w:val="000000"/>
          <w:sz w:val="32"/>
          <w:szCs w:val="32"/>
          <w:shd w:val="clear" w:color="auto" w:fill="FFFFFF"/>
        </w:rPr>
        <w:t>）</w:t>
      </w:r>
      <w:r>
        <w:rPr>
          <w:rFonts w:ascii="仿宋" w:hAnsi="仿宋" w:eastAsia="仿宋"/>
          <w:color w:val="000000"/>
          <w:sz w:val="32"/>
          <w:szCs w:val="32"/>
          <w:highlight w:val="none"/>
          <w:shd w:val="clear" w:color="auto" w:fill="FFFFFF"/>
        </w:rPr>
        <w:t>基金规模</w:t>
      </w:r>
      <w:r>
        <w:rPr>
          <w:rFonts w:ascii="仿宋" w:hAnsi="仿宋" w:eastAsia="仿宋"/>
          <w:color w:val="000000"/>
          <w:sz w:val="32"/>
          <w:szCs w:val="32"/>
          <w:shd w:val="clear" w:color="auto" w:fill="FFFFFF"/>
        </w:rPr>
        <w:t>：</w:t>
      </w:r>
      <w:r>
        <w:rPr>
          <w:rFonts w:hint="eastAsia" w:ascii="仿宋" w:hAnsi="仿宋" w:eastAsia="仿宋"/>
          <w:color w:val="000000"/>
          <w:sz w:val="32"/>
          <w:szCs w:val="32"/>
          <w:shd w:val="clear" w:color="auto" w:fill="FFFFFF"/>
          <w:lang w:val="en-US" w:eastAsia="zh-CN"/>
        </w:rPr>
        <w:t>创投</w:t>
      </w:r>
      <w:r>
        <w:rPr>
          <w:rFonts w:ascii="仿宋" w:hAnsi="仿宋" w:eastAsia="仿宋"/>
          <w:color w:val="000000"/>
          <w:sz w:val="32"/>
          <w:szCs w:val="32"/>
          <w:shd w:val="clear" w:color="auto" w:fill="FFFFFF"/>
        </w:rPr>
        <w:t>类基金原则上规模不低于</w:t>
      </w:r>
      <w:r>
        <w:rPr>
          <w:rFonts w:hint="eastAsia" w:ascii="仿宋" w:hAnsi="仿宋" w:eastAsia="仿宋"/>
          <w:color w:val="000000"/>
          <w:sz w:val="32"/>
          <w:szCs w:val="32"/>
          <w:shd w:val="clear" w:color="auto" w:fill="FFFFFF"/>
          <w:lang w:val="en-US" w:eastAsia="zh-CN"/>
        </w:rPr>
        <w:t>1000万</w:t>
      </w:r>
      <w:r>
        <w:rPr>
          <w:rFonts w:ascii="仿宋" w:hAnsi="仿宋" w:eastAsia="仿宋"/>
          <w:color w:val="000000"/>
          <w:sz w:val="32"/>
          <w:szCs w:val="32"/>
          <w:shd w:val="clear" w:color="auto" w:fill="FFFFFF"/>
        </w:rPr>
        <w:t>元人民币（或等值外币）；产业类基金原则上规模不低于5</w:t>
      </w:r>
      <w:r>
        <w:rPr>
          <w:rFonts w:hint="eastAsia" w:ascii="仿宋" w:hAnsi="仿宋" w:eastAsia="仿宋"/>
          <w:color w:val="000000"/>
          <w:sz w:val="32"/>
          <w:szCs w:val="32"/>
          <w:shd w:val="clear" w:color="auto" w:fill="FFFFFF"/>
          <w:lang w:val="en-US" w:eastAsia="zh-CN"/>
        </w:rPr>
        <w:t>000万</w:t>
      </w:r>
      <w:r>
        <w:rPr>
          <w:rFonts w:ascii="仿宋" w:hAnsi="仿宋" w:eastAsia="仿宋"/>
          <w:color w:val="000000"/>
          <w:sz w:val="32"/>
          <w:szCs w:val="32"/>
          <w:shd w:val="clear" w:color="auto" w:fill="FFFFFF"/>
        </w:rPr>
        <w:t>元人民币（或等值外币），母基金原则上规模不低于1亿元人民币（或等值外币）。</w:t>
      </w:r>
    </w:p>
    <w:p w14:paraId="21CA11CB">
      <w:pPr>
        <w:spacing w:line="560" w:lineRule="exact"/>
        <w:ind w:firstLine="640" w:firstLineChars="200"/>
        <w:rPr>
          <w:rFonts w:hint="eastAsia" w:ascii="仿宋" w:hAnsi="仿宋" w:eastAsia="仿宋"/>
          <w:color w:val="000000"/>
          <w:sz w:val="32"/>
          <w:szCs w:val="32"/>
          <w:shd w:val="clear" w:color="auto" w:fill="FFFFFF"/>
        </w:rPr>
      </w:pPr>
      <w:r>
        <w:rPr>
          <w:rFonts w:ascii="仿宋" w:hAnsi="仿宋" w:eastAsia="仿宋"/>
          <w:color w:val="000000"/>
          <w:sz w:val="32"/>
          <w:szCs w:val="32"/>
          <w:shd w:val="clear" w:color="auto" w:fill="FFFFFF"/>
        </w:rPr>
        <w:t>（</w:t>
      </w:r>
      <w:r>
        <w:rPr>
          <w:rFonts w:hint="eastAsia" w:ascii="仿宋" w:hAnsi="仿宋" w:eastAsia="仿宋"/>
          <w:color w:val="000000"/>
          <w:sz w:val="32"/>
          <w:szCs w:val="32"/>
          <w:shd w:val="clear" w:color="auto" w:fill="FFFFFF"/>
          <w:lang w:val="en-US" w:eastAsia="zh-CN"/>
        </w:rPr>
        <w:t>二</w:t>
      </w:r>
      <w:r>
        <w:rPr>
          <w:rFonts w:ascii="仿宋" w:hAnsi="仿宋" w:eastAsia="仿宋"/>
          <w:color w:val="000000"/>
          <w:sz w:val="32"/>
          <w:szCs w:val="32"/>
          <w:shd w:val="clear" w:color="auto" w:fill="FFFFFF"/>
        </w:rPr>
        <w:t>）</w:t>
      </w:r>
      <w:bookmarkStart w:id="0" w:name="_GoBack"/>
      <w:bookmarkEnd w:id="0"/>
      <w:r>
        <w:rPr>
          <w:rFonts w:ascii="仿宋" w:hAnsi="仿宋" w:eastAsia="仿宋"/>
          <w:color w:val="000000"/>
          <w:sz w:val="32"/>
          <w:szCs w:val="32"/>
          <w:shd w:val="clear" w:color="auto" w:fill="FFFFFF"/>
        </w:rPr>
        <w:t>募资情况：申请新设基金的，基金管理人在提交基金申报方案时，须至少已经募集到拟设立基金</w:t>
      </w:r>
      <w:r>
        <w:rPr>
          <w:rFonts w:ascii="仿宋" w:hAnsi="仿宋" w:eastAsia="仿宋"/>
          <w:color w:val="000000"/>
          <w:sz w:val="32"/>
          <w:szCs w:val="32"/>
          <w:highlight w:val="none"/>
          <w:shd w:val="clear" w:color="auto" w:fill="FFFFFF"/>
        </w:rPr>
        <w:t>总规模50%</w:t>
      </w:r>
      <w:r>
        <w:rPr>
          <w:rFonts w:ascii="仿宋" w:hAnsi="仿宋" w:eastAsia="仿宋"/>
          <w:color w:val="000000"/>
          <w:sz w:val="32"/>
          <w:szCs w:val="32"/>
          <w:shd w:val="clear" w:color="auto" w:fill="FFFFFF"/>
        </w:rPr>
        <w:t>的资金，并提供拟出资人的出资</w:t>
      </w:r>
      <w:r>
        <w:rPr>
          <w:rFonts w:hint="eastAsia" w:ascii="仿宋" w:hAnsi="仿宋" w:eastAsia="仿宋"/>
          <w:color w:val="000000"/>
          <w:sz w:val="32"/>
          <w:szCs w:val="32"/>
          <w:shd w:val="clear" w:color="auto" w:fill="FFFFFF"/>
          <w:lang w:val="en-US" w:eastAsia="zh-CN"/>
        </w:rPr>
        <w:t>意向</w:t>
      </w:r>
      <w:r>
        <w:rPr>
          <w:rFonts w:ascii="仿宋" w:hAnsi="仿宋" w:eastAsia="仿宋"/>
          <w:color w:val="000000"/>
          <w:sz w:val="32"/>
          <w:szCs w:val="32"/>
          <w:shd w:val="clear" w:color="auto" w:fill="FFFFFF"/>
        </w:rPr>
        <w:t>函、出资能力证明等材料（拟出资人为各级人民政府或其职能部门直接出资的政府投资基</w:t>
      </w:r>
      <w:r>
        <w:rPr>
          <w:rFonts w:ascii="仿宋" w:hAnsi="仿宋" w:eastAsia="仿宋"/>
          <w:color w:val="000000"/>
          <w:sz w:val="32"/>
          <w:szCs w:val="32"/>
          <w:highlight w:val="none"/>
          <w:shd w:val="clear" w:color="auto" w:fill="FFFFFF"/>
        </w:rPr>
        <w:t>金</w:t>
      </w:r>
      <w:r>
        <w:rPr>
          <w:rFonts w:hint="eastAsia" w:ascii="仿宋" w:hAnsi="仿宋" w:eastAsia="仿宋"/>
          <w:color w:val="000000"/>
          <w:sz w:val="32"/>
          <w:szCs w:val="32"/>
          <w:highlight w:val="none"/>
          <w:shd w:val="clear" w:color="auto" w:fill="FFFFFF"/>
        </w:rPr>
        <w:t>应提供公示等具备同等效力材料</w:t>
      </w:r>
      <w:r>
        <w:rPr>
          <w:rFonts w:ascii="仿宋" w:hAnsi="仿宋" w:eastAsia="仿宋"/>
          <w:color w:val="000000"/>
          <w:sz w:val="32"/>
          <w:szCs w:val="32"/>
          <w:highlight w:val="none"/>
          <w:shd w:val="clear" w:color="auto" w:fill="FFFFFF"/>
        </w:rPr>
        <w:t>）。</w:t>
      </w:r>
      <w:r>
        <w:rPr>
          <w:rFonts w:ascii="仿宋" w:hAnsi="仿宋" w:eastAsia="仿宋"/>
          <w:color w:val="000000"/>
          <w:sz w:val="32"/>
          <w:szCs w:val="32"/>
          <w:shd w:val="clear" w:color="auto" w:fill="FFFFFF"/>
        </w:rPr>
        <w:t>基金申报方案获得通过后，在</w:t>
      </w:r>
      <w:r>
        <w:rPr>
          <w:rFonts w:hint="eastAsia" w:ascii="仿宋" w:hAnsi="仿宋" w:eastAsia="仿宋"/>
          <w:color w:val="000000"/>
          <w:sz w:val="32"/>
          <w:szCs w:val="32"/>
          <w:shd w:val="clear" w:color="auto" w:fill="FFFFFF"/>
          <w:lang w:val="en-US" w:eastAsia="zh-CN"/>
        </w:rPr>
        <w:t>江岸</w:t>
      </w:r>
      <w:r>
        <w:rPr>
          <w:rFonts w:ascii="仿宋" w:hAnsi="仿宋" w:eastAsia="仿宋"/>
          <w:color w:val="000000"/>
          <w:sz w:val="32"/>
          <w:szCs w:val="32"/>
          <w:shd w:val="clear" w:color="auto" w:fill="FFFFFF"/>
        </w:rPr>
        <w:t>基金签署合伙协议时，该申报方案中基金管理人不得变动。</w:t>
      </w:r>
    </w:p>
    <w:p w14:paraId="28DD517D">
      <w:pPr>
        <w:spacing w:line="560" w:lineRule="exact"/>
        <w:ind w:firstLine="640" w:firstLineChars="200"/>
        <w:rPr>
          <w:rFonts w:hint="eastAsia" w:ascii="仿宋" w:hAnsi="仿宋" w:eastAsia="仿宋"/>
          <w:color w:val="000000"/>
          <w:sz w:val="32"/>
          <w:szCs w:val="32"/>
          <w:shd w:val="clear" w:color="auto" w:fill="FFFFFF"/>
        </w:rPr>
      </w:pPr>
      <w:r>
        <w:rPr>
          <w:rFonts w:ascii="仿宋" w:hAnsi="仿宋" w:eastAsia="仿宋"/>
          <w:color w:val="000000"/>
          <w:sz w:val="32"/>
          <w:szCs w:val="32"/>
          <w:shd w:val="clear" w:color="auto" w:fill="FFFFFF"/>
        </w:rPr>
        <w:t>（</w:t>
      </w:r>
      <w:r>
        <w:rPr>
          <w:rFonts w:hint="eastAsia" w:ascii="仿宋" w:hAnsi="仿宋" w:eastAsia="仿宋"/>
          <w:color w:val="000000"/>
          <w:sz w:val="32"/>
          <w:szCs w:val="32"/>
          <w:shd w:val="clear" w:color="auto" w:fill="FFFFFF"/>
          <w:lang w:val="en-US" w:eastAsia="zh-CN"/>
        </w:rPr>
        <w:t>三</w:t>
      </w:r>
      <w:r>
        <w:rPr>
          <w:rFonts w:ascii="仿宋" w:hAnsi="仿宋" w:eastAsia="仿宋"/>
          <w:color w:val="000000"/>
          <w:sz w:val="32"/>
          <w:szCs w:val="32"/>
          <w:shd w:val="clear" w:color="auto" w:fill="FFFFFF"/>
        </w:rPr>
        <w:t>）出资比例：</w:t>
      </w:r>
      <w:r>
        <w:rPr>
          <w:rFonts w:hint="eastAsia" w:ascii="仿宋" w:hAnsi="仿宋" w:eastAsia="仿宋"/>
          <w:color w:val="000000"/>
          <w:sz w:val="32"/>
          <w:szCs w:val="32"/>
          <w:shd w:val="clear" w:color="auto" w:fill="FFFFFF"/>
          <w:lang w:val="en-US" w:eastAsia="zh-CN"/>
        </w:rPr>
        <w:t>江岸</w:t>
      </w:r>
      <w:r>
        <w:rPr>
          <w:rFonts w:ascii="仿宋" w:hAnsi="仿宋" w:eastAsia="仿宋"/>
          <w:color w:val="000000"/>
          <w:sz w:val="32"/>
          <w:szCs w:val="32"/>
          <w:shd w:val="clear" w:color="auto" w:fill="FFFFFF"/>
        </w:rPr>
        <w:t>基金</w:t>
      </w:r>
      <w:r>
        <w:rPr>
          <w:rFonts w:hint="eastAsia" w:ascii="仿宋" w:hAnsi="仿宋" w:eastAsia="仿宋"/>
          <w:color w:val="000000"/>
          <w:sz w:val="32"/>
          <w:szCs w:val="32"/>
          <w:shd w:val="clear" w:color="auto" w:fill="FFFFFF"/>
        </w:rPr>
        <w:t>参与设立母、子基金，</w:t>
      </w:r>
      <w:r>
        <w:rPr>
          <w:rFonts w:ascii="仿宋" w:hAnsi="仿宋" w:eastAsia="仿宋"/>
          <w:color w:val="000000"/>
          <w:sz w:val="32"/>
          <w:szCs w:val="32"/>
          <w:shd w:val="clear" w:color="auto" w:fill="FFFFFF"/>
        </w:rPr>
        <w:t>出资比例原则上</w:t>
      </w:r>
      <w:r>
        <w:rPr>
          <w:rFonts w:hint="eastAsia" w:ascii="仿宋" w:hAnsi="仿宋" w:eastAsia="仿宋"/>
          <w:color w:val="000000"/>
          <w:sz w:val="32"/>
          <w:szCs w:val="32"/>
          <w:shd w:val="clear" w:color="auto" w:fill="FFFFFF"/>
        </w:rPr>
        <w:t>为母、子</w:t>
      </w:r>
      <w:r>
        <w:rPr>
          <w:rFonts w:ascii="仿宋" w:hAnsi="仿宋" w:eastAsia="仿宋"/>
          <w:color w:val="000000"/>
          <w:sz w:val="32"/>
          <w:szCs w:val="32"/>
          <w:shd w:val="clear" w:color="auto" w:fill="FFFFFF"/>
        </w:rPr>
        <w:t>基金</w:t>
      </w:r>
      <w:r>
        <w:rPr>
          <w:rFonts w:hint="eastAsia" w:ascii="仿宋" w:hAnsi="仿宋" w:eastAsia="仿宋"/>
          <w:color w:val="000000"/>
          <w:sz w:val="32"/>
          <w:szCs w:val="32"/>
          <w:shd w:val="clear" w:color="auto" w:fill="FFFFFF"/>
        </w:rPr>
        <w:t>规模</w:t>
      </w:r>
      <w:r>
        <w:rPr>
          <w:rFonts w:ascii="仿宋" w:hAnsi="仿宋" w:eastAsia="仿宋"/>
          <w:color w:val="000000"/>
          <w:sz w:val="32"/>
          <w:szCs w:val="32"/>
          <w:shd w:val="clear" w:color="auto" w:fill="FFFFFF"/>
        </w:rPr>
        <w:t>的</w:t>
      </w:r>
      <w:r>
        <w:rPr>
          <w:rFonts w:hint="eastAsia" w:ascii="仿宋" w:hAnsi="仿宋" w:eastAsia="仿宋"/>
          <w:color w:val="000000"/>
          <w:sz w:val="32"/>
          <w:szCs w:val="32"/>
          <w:shd w:val="clear" w:color="auto" w:fill="FFFFFF"/>
        </w:rPr>
        <w:t>2</w:t>
      </w:r>
      <w:r>
        <w:rPr>
          <w:rFonts w:hint="eastAsia" w:ascii="仿宋" w:hAnsi="仿宋" w:eastAsia="仿宋"/>
          <w:color w:val="000000"/>
          <w:sz w:val="32"/>
          <w:szCs w:val="32"/>
          <w:shd w:val="clear" w:color="auto" w:fill="FFFFFF"/>
          <w:lang w:val="en-US" w:eastAsia="zh-CN"/>
        </w:rPr>
        <w:t>5</w:t>
      </w:r>
      <w:r>
        <w:rPr>
          <w:rFonts w:hint="eastAsia" w:ascii="仿宋" w:hAnsi="仿宋" w:eastAsia="仿宋"/>
          <w:color w:val="000000"/>
          <w:sz w:val="32"/>
          <w:szCs w:val="32"/>
          <w:shd w:val="clear" w:color="auto" w:fill="FFFFFF"/>
        </w:rPr>
        <w:t>%</w:t>
      </w:r>
      <w:r>
        <w:rPr>
          <w:rFonts w:ascii="仿宋" w:hAnsi="仿宋" w:eastAsia="仿宋"/>
          <w:color w:val="000000"/>
          <w:sz w:val="32"/>
          <w:szCs w:val="32"/>
          <w:shd w:val="clear" w:color="auto" w:fill="FFFFFF"/>
        </w:rPr>
        <w:t>，</w:t>
      </w:r>
      <w:r>
        <w:rPr>
          <w:rFonts w:hint="eastAsia" w:ascii="仿宋" w:hAnsi="仿宋" w:eastAsia="仿宋"/>
          <w:color w:val="000000"/>
          <w:sz w:val="32"/>
          <w:szCs w:val="32"/>
          <w:shd w:val="clear" w:color="auto" w:fill="FFFFFF"/>
        </w:rPr>
        <w:t>在</w:t>
      </w:r>
      <w:r>
        <w:rPr>
          <w:rFonts w:hint="eastAsia" w:ascii="仿宋" w:hAnsi="仿宋" w:eastAsia="仿宋"/>
          <w:color w:val="000000"/>
          <w:sz w:val="32"/>
          <w:szCs w:val="32"/>
          <w:shd w:val="clear" w:color="auto" w:fill="FFFFFF"/>
          <w:lang w:val="en-US" w:eastAsia="zh-CN"/>
        </w:rPr>
        <w:t>创投</w:t>
      </w:r>
      <w:r>
        <w:rPr>
          <w:rFonts w:hint="eastAsia" w:ascii="仿宋" w:hAnsi="仿宋" w:eastAsia="仿宋"/>
          <w:color w:val="000000"/>
          <w:sz w:val="32"/>
          <w:szCs w:val="32"/>
          <w:shd w:val="clear" w:color="auto" w:fill="FFFFFF"/>
        </w:rPr>
        <w:t>类基金中的出资比例可</w:t>
      </w:r>
      <w:r>
        <w:rPr>
          <w:rFonts w:hint="eastAsia" w:ascii="仿宋" w:hAnsi="仿宋" w:eastAsia="仿宋"/>
          <w:color w:val="000000"/>
          <w:sz w:val="32"/>
          <w:szCs w:val="32"/>
          <w:shd w:val="clear" w:color="auto" w:fill="FFFFFF"/>
          <w:lang w:val="en-US" w:eastAsia="zh-CN"/>
        </w:rPr>
        <w:t>超过</w:t>
      </w:r>
      <w:r>
        <w:rPr>
          <w:rFonts w:hint="eastAsia" w:ascii="仿宋" w:hAnsi="仿宋" w:eastAsia="仿宋"/>
          <w:color w:val="000000"/>
          <w:sz w:val="32"/>
          <w:szCs w:val="32"/>
          <w:shd w:val="clear" w:color="auto" w:fill="FFFFFF"/>
        </w:rPr>
        <w:t>50%</w:t>
      </w:r>
      <w:r>
        <w:rPr>
          <w:rFonts w:hint="eastAsia" w:ascii="仿宋" w:hAnsi="仿宋" w:eastAsia="仿宋"/>
          <w:color w:val="000000"/>
          <w:sz w:val="32"/>
          <w:szCs w:val="32"/>
          <w:shd w:val="clear" w:color="auto" w:fill="FFFFFF"/>
          <w:lang w:eastAsia="zh-CN"/>
        </w:rPr>
        <w:t>，</w:t>
      </w:r>
      <w:r>
        <w:rPr>
          <w:rFonts w:hint="eastAsia" w:ascii="仿宋" w:hAnsi="仿宋" w:eastAsia="仿宋"/>
          <w:color w:val="000000"/>
          <w:sz w:val="32"/>
          <w:szCs w:val="32"/>
          <w:shd w:val="clear" w:color="auto" w:fill="FFFFFF"/>
          <w:lang w:val="en-US" w:eastAsia="zh-CN"/>
        </w:rPr>
        <w:t>出资额上限原则上为1亿元</w:t>
      </w:r>
      <w:r>
        <w:rPr>
          <w:rFonts w:ascii="仿宋" w:hAnsi="仿宋" w:eastAsia="仿宋"/>
          <w:color w:val="000000"/>
          <w:sz w:val="32"/>
          <w:szCs w:val="32"/>
          <w:shd w:val="clear" w:color="auto" w:fill="FFFFFF"/>
        </w:rPr>
        <w:t>。</w:t>
      </w:r>
    </w:p>
    <w:p w14:paraId="5AEA4DD7">
      <w:pPr>
        <w:spacing w:line="560" w:lineRule="exact"/>
        <w:ind w:firstLine="640" w:firstLineChars="200"/>
        <w:rPr>
          <w:rFonts w:hint="default" w:ascii="仿宋" w:hAnsi="仿宋" w:eastAsia="仿宋"/>
          <w:color w:val="000000"/>
          <w:sz w:val="32"/>
          <w:szCs w:val="32"/>
          <w:shd w:val="clear" w:color="auto" w:fill="FFFFFF"/>
          <w:lang w:val="en-US" w:eastAsia="zh-CN"/>
        </w:rPr>
      </w:pPr>
      <w:r>
        <w:rPr>
          <w:rFonts w:ascii="仿宋" w:hAnsi="仿宋" w:eastAsia="仿宋"/>
          <w:color w:val="000000"/>
          <w:sz w:val="32"/>
          <w:szCs w:val="32"/>
          <w:shd w:val="clear" w:color="auto" w:fill="FFFFFF"/>
        </w:rPr>
        <w:t>基金管理</w:t>
      </w:r>
      <w:r>
        <w:rPr>
          <w:rFonts w:hint="eastAsia" w:ascii="仿宋" w:hAnsi="仿宋" w:eastAsia="仿宋"/>
          <w:color w:val="000000"/>
          <w:sz w:val="32"/>
          <w:szCs w:val="32"/>
          <w:shd w:val="clear" w:color="auto" w:fill="FFFFFF"/>
          <w:lang w:val="en-US" w:eastAsia="zh-CN"/>
        </w:rPr>
        <w:t>机构及其关联方（同一实控人）在基金中出资额原则上不低于基金规模的1%，其中基金管理机构出资额不低于基金规模的0.5%。</w:t>
      </w:r>
    </w:p>
    <w:p w14:paraId="0C132E12">
      <w:pPr>
        <w:spacing w:line="560" w:lineRule="exact"/>
        <w:ind w:firstLine="640" w:firstLineChars="200"/>
        <w:rPr>
          <w:rFonts w:hint="eastAsia" w:ascii="仿宋" w:hAnsi="仿宋" w:eastAsia="仿宋"/>
          <w:color w:val="000000"/>
          <w:sz w:val="32"/>
          <w:szCs w:val="32"/>
          <w:shd w:val="clear" w:color="auto" w:fill="FFFFFF"/>
        </w:rPr>
      </w:pPr>
      <w:r>
        <w:rPr>
          <w:rFonts w:ascii="仿宋" w:hAnsi="仿宋" w:eastAsia="仿宋"/>
          <w:color w:val="000000"/>
          <w:sz w:val="32"/>
          <w:szCs w:val="32"/>
          <w:shd w:val="clear" w:color="auto" w:fill="FFFFFF"/>
        </w:rPr>
        <w:t>（</w:t>
      </w:r>
      <w:r>
        <w:rPr>
          <w:rFonts w:hint="eastAsia" w:ascii="仿宋" w:hAnsi="仿宋" w:eastAsia="仿宋"/>
          <w:color w:val="000000"/>
          <w:sz w:val="32"/>
          <w:szCs w:val="32"/>
          <w:shd w:val="clear" w:color="auto" w:fill="FFFFFF"/>
          <w:lang w:val="en-US" w:eastAsia="zh-CN"/>
        </w:rPr>
        <w:t>四</w:t>
      </w:r>
      <w:r>
        <w:rPr>
          <w:rFonts w:ascii="仿宋" w:hAnsi="仿宋" w:eastAsia="仿宋"/>
          <w:color w:val="000000"/>
          <w:sz w:val="32"/>
          <w:szCs w:val="32"/>
          <w:shd w:val="clear" w:color="auto" w:fill="FFFFFF"/>
        </w:rPr>
        <w:t>）出资顺序：</w:t>
      </w:r>
      <w:r>
        <w:rPr>
          <w:rFonts w:hint="eastAsia" w:ascii="仿宋" w:hAnsi="仿宋" w:eastAsia="仿宋"/>
          <w:color w:val="000000"/>
          <w:sz w:val="32"/>
          <w:szCs w:val="32"/>
          <w:shd w:val="clear" w:color="auto" w:fill="FFFFFF"/>
          <w:lang w:val="en-US" w:eastAsia="zh-CN"/>
        </w:rPr>
        <w:t>江岸</w:t>
      </w:r>
      <w:r>
        <w:rPr>
          <w:rFonts w:ascii="仿宋" w:hAnsi="仿宋" w:eastAsia="仿宋"/>
          <w:color w:val="000000"/>
          <w:sz w:val="32"/>
          <w:szCs w:val="32"/>
          <w:shd w:val="clear" w:color="auto" w:fill="FFFFFF"/>
        </w:rPr>
        <w:t>基金出资可以一次认缴、分期出</w:t>
      </w:r>
      <w:r>
        <w:rPr>
          <w:rFonts w:ascii="仿宋" w:hAnsi="仿宋" w:eastAsia="仿宋"/>
          <w:color w:val="000000"/>
          <w:sz w:val="32"/>
          <w:szCs w:val="32"/>
          <w:highlight w:val="none"/>
          <w:shd w:val="clear" w:color="auto" w:fill="FFFFFF"/>
        </w:rPr>
        <w:t>资，原则上应在其他社会出资人缴付出资后，按比例出</w:t>
      </w:r>
      <w:r>
        <w:rPr>
          <w:rFonts w:ascii="仿宋" w:hAnsi="仿宋" w:eastAsia="仿宋"/>
          <w:color w:val="000000"/>
          <w:sz w:val="32"/>
          <w:szCs w:val="32"/>
          <w:shd w:val="clear" w:color="auto" w:fill="FFFFFF"/>
        </w:rPr>
        <w:t>资。</w:t>
      </w:r>
    </w:p>
    <w:p w14:paraId="6292A3EE">
      <w:pPr>
        <w:spacing w:line="560" w:lineRule="exact"/>
        <w:ind w:firstLine="640" w:firstLineChars="200"/>
        <w:rPr>
          <w:rFonts w:hint="eastAsia" w:ascii="仿宋" w:hAnsi="仿宋" w:eastAsia="仿宋"/>
          <w:color w:val="000000"/>
          <w:sz w:val="32"/>
          <w:szCs w:val="32"/>
          <w:highlight w:val="none"/>
          <w:shd w:val="clear" w:color="auto" w:fill="FFFFFF"/>
        </w:rPr>
      </w:pPr>
      <w:r>
        <w:rPr>
          <w:rFonts w:ascii="仿宋" w:hAnsi="仿宋" w:eastAsia="仿宋"/>
          <w:color w:val="000000"/>
          <w:sz w:val="32"/>
          <w:szCs w:val="32"/>
          <w:shd w:val="clear" w:color="auto" w:fill="FFFFFF"/>
        </w:rPr>
        <w:t>（</w:t>
      </w:r>
      <w:r>
        <w:rPr>
          <w:rFonts w:hint="eastAsia" w:ascii="仿宋" w:hAnsi="仿宋" w:eastAsia="仿宋"/>
          <w:color w:val="000000"/>
          <w:sz w:val="32"/>
          <w:szCs w:val="32"/>
          <w:shd w:val="clear" w:color="auto" w:fill="FFFFFF"/>
          <w:lang w:val="en-US" w:eastAsia="zh-CN"/>
        </w:rPr>
        <w:t>五</w:t>
      </w:r>
      <w:r>
        <w:rPr>
          <w:rFonts w:ascii="仿宋" w:hAnsi="仿宋" w:eastAsia="仿宋"/>
          <w:color w:val="000000"/>
          <w:sz w:val="32"/>
          <w:szCs w:val="32"/>
          <w:shd w:val="clear" w:color="auto" w:fill="FFFFFF"/>
        </w:rPr>
        <w:t>）存续期限：</w:t>
      </w:r>
      <w:r>
        <w:rPr>
          <w:rFonts w:hint="eastAsia" w:ascii="仿宋" w:hAnsi="仿宋" w:eastAsia="仿宋"/>
          <w:color w:val="000000" w:themeColor="text1"/>
          <w:sz w:val="32"/>
          <w:szCs w:val="32"/>
          <w:shd w:val="clear" w:color="auto" w:fill="FFFFFF"/>
          <w:lang w:val="en-US" w:eastAsia="zh-CN"/>
          <w14:textFill>
            <w14:solidFill>
              <w14:schemeClr w14:val="tx1"/>
            </w14:solidFill>
          </w14:textFill>
        </w:rPr>
        <w:t>创业投资类</w:t>
      </w:r>
      <w:r>
        <w:rPr>
          <w:rFonts w:ascii="仿宋" w:hAnsi="仿宋" w:eastAsia="仿宋"/>
          <w:color w:val="000000" w:themeColor="text1"/>
          <w:sz w:val="32"/>
          <w:szCs w:val="32"/>
          <w:shd w:val="clear" w:color="auto" w:fill="FFFFFF"/>
          <w14:textFill>
            <w14:solidFill>
              <w14:schemeClr w14:val="tx1"/>
            </w14:solidFill>
          </w14:textFill>
        </w:rPr>
        <w:t>基金存续期</w:t>
      </w:r>
      <w:r>
        <w:rPr>
          <w:rFonts w:hint="eastAsia" w:ascii="仿宋" w:hAnsi="仿宋" w:eastAsia="仿宋"/>
          <w:color w:val="000000" w:themeColor="text1"/>
          <w:sz w:val="32"/>
          <w:szCs w:val="32"/>
          <w:shd w:val="clear" w:color="auto" w:fill="FFFFFF"/>
          <w:lang w:val="en-US" w:eastAsia="zh-CN"/>
          <w14:textFill>
            <w14:solidFill>
              <w14:schemeClr w14:val="tx1"/>
            </w14:solidFill>
          </w14:textFill>
        </w:rPr>
        <w:t>原则上可达15-20年，产业投资类基金存续期原则上</w:t>
      </w:r>
      <w:r>
        <w:rPr>
          <w:rFonts w:ascii="仿宋" w:hAnsi="仿宋" w:eastAsia="仿宋"/>
          <w:color w:val="000000" w:themeColor="text1"/>
          <w:sz w:val="32"/>
          <w:szCs w:val="32"/>
          <w:shd w:val="clear" w:color="auto" w:fill="FFFFFF"/>
          <w14:textFill>
            <w14:solidFill>
              <w14:schemeClr w14:val="tx1"/>
            </w14:solidFill>
          </w14:textFill>
        </w:rPr>
        <w:t>不超过</w:t>
      </w:r>
      <w:r>
        <w:rPr>
          <w:rFonts w:hint="eastAsia" w:ascii="仿宋" w:hAnsi="仿宋" w:eastAsia="仿宋"/>
          <w:color w:val="000000" w:themeColor="text1"/>
          <w:sz w:val="32"/>
          <w:szCs w:val="32"/>
          <w:shd w:val="clear" w:color="auto" w:fill="FFFFFF"/>
          <w14:textFill>
            <w14:solidFill>
              <w14:schemeClr w14:val="tx1"/>
            </w14:solidFill>
          </w14:textFill>
        </w:rPr>
        <w:t>10</w:t>
      </w:r>
      <w:r>
        <w:rPr>
          <w:rFonts w:ascii="仿宋" w:hAnsi="仿宋" w:eastAsia="仿宋"/>
          <w:color w:val="000000" w:themeColor="text1"/>
          <w:sz w:val="32"/>
          <w:szCs w:val="32"/>
          <w:shd w:val="clear" w:color="auto" w:fill="FFFFFF"/>
          <w14:textFill>
            <w14:solidFill>
              <w14:schemeClr w14:val="tx1"/>
            </w14:solidFill>
          </w14:textFill>
        </w:rPr>
        <w:t>年</w:t>
      </w:r>
      <w:r>
        <w:rPr>
          <w:rFonts w:ascii="仿宋" w:hAnsi="仿宋" w:eastAsia="仿宋"/>
          <w:color w:val="000000"/>
          <w:sz w:val="32"/>
          <w:szCs w:val="32"/>
          <w:shd w:val="clear" w:color="auto" w:fill="FFFFFF"/>
        </w:rPr>
        <w:t>。</w:t>
      </w:r>
      <w:r>
        <w:rPr>
          <w:rFonts w:ascii="仿宋" w:hAnsi="仿宋" w:eastAsia="仿宋"/>
          <w:color w:val="000000"/>
          <w:sz w:val="32"/>
          <w:szCs w:val="32"/>
          <w:highlight w:val="none"/>
          <w:shd w:val="clear" w:color="auto" w:fill="FFFFFF"/>
        </w:rPr>
        <w:t>存续期满确需延期的，由</w:t>
      </w:r>
      <w:r>
        <w:rPr>
          <w:rFonts w:hint="eastAsia" w:ascii="仿宋" w:hAnsi="仿宋" w:eastAsia="仿宋"/>
          <w:color w:val="000000"/>
          <w:sz w:val="32"/>
          <w:szCs w:val="32"/>
          <w:highlight w:val="none"/>
          <w:shd w:val="clear" w:color="auto" w:fill="FFFFFF"/>
        </w:rPr>
        <w:t>母、子</w:t>
      </w:r>
      <w:r>
        <w:rPr>
          <w:rFonts w:ascii="仿宋" w:hAnsi="仿宋" w:eastAsia="仿宋"/>
          <w:color w:val="000000"/>
          <w:sz w:val="32"/>
          <w:szCs w:val="32"/>
          <w:highlight w:val="none"/>
          <w:shd w:val="clear" w:color="auto" w:fill="FFFFFF"/>
        </w:rPr>
        <w:t>基金决策机构审议通过后办理延期手续。</w:t>
      </w:r>
    </w:p>
    <w:p w14:paraId="41851CDD">
      <w:pPr>
        <w:numPr>
          <w:ilvl w:val="0"/>
          <w:numId w:val="0"/>
        </w:numPr>
        <w:spacing w:line="560" w:lineRule="exact"/>
        <w:ind w:firstLine="640" w:firstLineChars="200"/>
        <w:rPr>
          <w:rFonts w:hint="eastAsia" w:ascii="仿宋" w:hAnsi="仿宋" w:eastAsia="仿宋"/>
          <w:color w:val="000000"/>
          <w:sz w:val="32"/>
          <w:szCs w:val="32"/>
          <w:highlight w:val="none"/>
          <w:shd w:val="clear" w:color="auto" w:fill="FFFFFF"/>
        </w:rPr>
      </w:pPr>
      <w:r>
        <w:rPr>
          <w:rFonts w:hint="eastAsia" w:ascii="仿宋" w:hAnsi="仿宋" w:eastAsia="仿宋"/>
          <w:color w:val="000000"/>
          <w:sz w:val="32"/>
          <w:szCs w:val="32"/>
          <w:highlight w:val="none"/>
          <w:shd w:val="clear" w:color="auto" w:fill="FFFFFF"/>
          <w:lang w:eastAsia="zh-CN"/>
        </w:rPr>
        <w:t>（</w:t>
      </w:r>
      <w:r>
        <w:rPr>
          <w:rFonts w:hint="eastAsia" w:ascii="仿宋" w:hAnsi="仿宋" w:eastAsia="仿宋"/>
          <w:color w:val="000000"/>
          <w:sz w:val="32"/>
          <w:szCs w:val="32"/>
          <w:highlight w:val="none"/>
          <w:shd w:val="clear" w:color="auto" w:fill="FFFFFF"/>
          <w:lang w:val="en-US" w:eastAsia="zh-CN"/>
        </w:rPr>
        <w:t>六</w:t>
      </w:r>
      <w:r>
        <w:rPr>
          <w:rFonts w:hint="eastAsia" w:ascii="仿宋" w:hAnsi="仿宋" w:eastAsia="仿宋"/>
          <w:color w:val="000000"/>
          <w:sz w:val="32"/>
          <w:szCs w:val="32"/>
          <w:highlight w:val="none"/>
          <w:shd w:val="clear" w:color="auto" w:fill="FFFFFF"/>
          <w:lang w:eastAsia="zh-CN"/>
        </w:rPr>
        <w:t>）</w:t>
      </w:r>
      <w:r>
        <w:rPr>
          <w:rFonts w:hint="eastAsia" w:ascii="仿宋" w:hAnsi="仿宋" w:eastAsia="仿宋"/>
          <w:color w:val="000000"/>
          <w:sz w:val="32"/>
          <w:szCs w:val="32"/>
          <w:highlight w:val="none"/>
          <w:shd w:val="clear" w:color="auto" w:fill="FFFFFF"/>
        </w:rPr>
        <w:t>管理费用</w:t>
      </w:r>
      <w:r>
        <w:rPr>
          <w:rFonts w:ascii="仿宋" w:hAnsi="仿宋" w:eastAsia="仿宋"/>
          <w:color w:val="000000"/>
          <w:sz w:val="32"/>
          <w:szCs w:val="32"/>
          <w:highlight w:val="none"/>
          <w:shd w:val="clear" w:color="auto" w:fill="FFFFFF"/>
        </w:rPr>
        <w:t>：投资期内，原则上以参</w:t>
      </w:r>
      <w:r>
        <w:rPr>
          <w:rFonts w:hint="eastAsia" w:ascii="仿宋" w:hAnsi="仿宋" w:eastAsia="仿宋"/>
          <w:color w:val="000000"/>
          <w:sz w:val="32"/>
          <w:szCs w:val="32"/>
          <w:highlight w:val="none"/>
          <w:shd w:val="clear" w:color="auto" w:fill="FFFFFF"/>
          <w:lang w:val="en-US" w:eastAsia="zh-CN"/>
        </w:rPr>
        <w:t>投</w:t>
      </w:r>
      <w:r>
        <w:rPr>
          <w:rFonts w:ascii="仿宋" w:hAnsi="仿宋" w:eastAsia="仿宋"/>
          <w:color w:val="000000"/>
          <w:sz w:val="32"/>
          <w:szCs w:val="32"/>
          <w:highlight w:val="none"/>
          <w:shd w:val="clear" w:color="auto" w:fill="FFFFFF"/>
        </w:rPr>
        <w:t>基金实缴出资总额为管理费计算基数；退出期内，以参</w:t>
      </w:r>
      <w:r>
        <w:rPr>
          <w:rFonts w:hint="eastAsia" w:ascii="仿宋" w:hAnsi="仿宋" w:eastAsia="仿宋"/>
          <w:color w:val="000000"/>
          <w:sz w:val="32"/>
          <w:szCs w:val="32"/>
          <w:highlight w:val="none"/>
          <w:shd w:val="clear" w:color="auto" w:fill="FFFFFF"/>
          <w:lang w:val="en-US" w:eastAsia="zh-CN"/>
        </w:rPr>
        <w:t>投</w:t>
      </w:r>
      <w:r>
        <w:rPr>
          <w:rFonts w:ascii="仿宋" w:hAnsi="仿宋" w:eastAsia="仿宋"/>
          <w:color w:val="000000"/>
          <w:sz w:val="32"/>
          <w:szCs w:val="32"/>
          <w:highlight w:val="none"/>
          <w:shd w:val="clear" w:color="auto" w:fill="FFFFFF"/>
        </w:rPr>
        <w:t>基金未退出项目投资成本为管理费计算基数。</w:t>
      </w:r>
      <w:r>
        <w:rPr>
          <w:rFonts w:hint="eastAsia" w:ascii="仿宋" w:hAnsi="仿宋" w:eastAsia="仿宋"/>
          <w:color w:val="000000" w:themeColor="text1"/>
          <w:sz w:val="32"/>
          <w:szCs w:val="32"/>
          <w:highlight w:val="none"/>
          <w:shd w:val="clear" w:color="auto" w:fill="FFFFFF"/>
          <w:lang w:val="en-US" w:eastAsia="zh-CN"/>
          <w14:textFill>
            <w14:solidFill>
              <w14:schemeClr w14:val="tx1"/>
            </w14:solidFill>
          </w14:textFill>
        </w:rPr>
        <w:t>参投母基金管理费率原则上不高于实缴规模或实际投资规模的1.5%，子基金管理费率原则上不超过2%。</w:t>
      </w:r>
      <w:r>
        <w:rPr>
          <w:rFonts w:ascii="仿宋" w:hAnsi="仿宋" w:eastAsia="仿宋"/>
          <w:color w:val="000000"/>
          <w:sz w:val="32"/>
          <w:szCs w:val="32"/>
          <w:highlight w:val="none"/>
          <w:shd w:val="clear" w:color="auto" w:fill="FFFFFF"/>
        </w:rPr>
        <w:t>原则上母子基金为同一管理人的不重复收取管理费，延长期、清算期不收取</w:t>
      </w:r>
      <w:r>
        <w:rPr>
          <w:rFonts w:hint="eastAsia" w:ascii="仿宋" w:hAnsi="仿宋" w:eastAsia="仿宋"/>
          <w:color w:val="000000"/>
          <w:sz w:val="32"/>
          <w:szCs w:val="32"/>
          <w:highlight w:val="none"/>
          <w:shd w:val="clear" w:color="auto" w:fill="FFFFFF"/>
          <w:lang w:val="en-US" w:eastAsia="zh-CN"/>
        </w:rPr>
        <w:t>管理费</w:t>
      </w:r>
      <w:r>
        <w:rPr>
          <w:rFonts w:ascii="仿宋" w:hAnsi="仿宋" w:eastAsia="仿宋"/>
          <w:color w:val="000000"/>
          <w:sz w:val="32"/>
          <w:szCs w:val="32"/>
          <w:highlight w:val="none"/>
          <w:shd w:val="clear" w:color="auto" w:fill="FFFFFF"/>
        </w:rPr>
        <w:t>，且对</w:t>
      </w:r>
      <w:r>
        <w:rPr>
          <w:rFonts w:hint="eastAsia" w:ascii="仿宋" w:hAnsi="仿宋" w:eastAsia="仿宋"/>
          <w:color w:val="000000"/>
          <w:sz w:val="32"/>
          <w:szCs w:val="32"/>
          <w:highlight w:val="none"/>
          <w:shd w:val="clear" w:color="auto" w:fill="FFFFFF"/>
          <w:lang w:val="en-US" w:eastAsia="zh-CN"/>
        </w:rPr>
        <w:t>江岸</w:t>
      </w:r>
      <w:r>
        <w:rPr>
          <w:rFonts w:ascii="仿宋" w:hAnsi="仿宋" w:eastAsia="仿宋"/>
          <w:color w:val="000000"/>
          <w:sz w:val="32"/>
          <w:szCs w:val="32"/>
          <w:highlight w:val="none"/>
          <w:shd w:val="clear" w:color="auto" w:fill="FFFFFF"/>
        </w:rPr>
        <w:t>基金管理费收取标准不得高于其他出资人。</w:t>
      </w:r>
    </w:p>
    <w:p w14:paraId="406BF630">
      <w:pPr>
        <w:spacing w:line="560" w:lineRule="exact"/>
        <w:ind w:firstLine="640" w:firstLineChars="200"/>
        <w:rPr>
          <w:rFonts w:hint="eastAsia" w:ascii="仿宋" w:hAnsi="仿宋" w:eastAsia="仿宋"/>
          <w:color w:val="000000"/>
          <w:sz w:val="32"/>
          <w:szCs w:val="32"/>
          <w:highlight w:val="none"/>
          <w:shd w:val="clear" w:color="auto" w:fill="FFFFFF"/>
        </w:rPr>
      </w:pPr>
      <w:r>
        <w:rPr>
          <w:rFonts w:ascii="仿宋" w:hAnsi="仿宋" w:eastAsia="仿宋"/>
          <w:color w:val="000000"/>
          <w:sz w:val="32"/>
          <w:szCs w:val="32"/>
          <w:highlight w:val="none"/>
          <w:shd w:val="clear" w:color="auto" w:fill="FFFFFF"/>
        </w:rPr>
        <w:t>（</w:t>
      </w:r>
      <w:r>
        <w:rPr>
          <w:rFonts w:hint="eastAsia" w:ascii="仿宋" w:hAnsi="仿宋" w:eastAsia="仿宋"/>
          <w:color w:val="000000"/>
          <w:sz w:val="32"/>
          <w:szCs w:val="32"/>
          <w:highlight w:val="none"/>
          <w:shd w:val="clear" w:color="auto" w:fill="FFFFFF"/>
          <w:lang w:val="en-US" w:eastAsia="zh-CN"/>
        </w:rPr>
        <w:t>七</w:t>
      </w:r>
      <w:r>
        <w:rPr>
          <w:rFonts w:ascii="仿宋" w:hAnsi="仿宋" w:eastAsia="仿宋"/>
          <w:color w:val="000000"/>
          <w:sz w:val="32"/>
          <w:szCs w:val="32"/>
          <w:highlight w:val="none"/>
          <w:shd w:val="clear" w:color="auto" w:fill="FFFFFF"/>
        </w:rPr>
        <w:t>）投资决策：基金采取市场化机制运作，由基金管理人依据合伙协议等相关协议的约定进行投资决策。</w:t>
      </w:r>
      <w:r>
        <w:rPr>
          <w:rFonts w:hint="eastAsia" w:ascii="仿宋" w:hAnsi="仿宋" w:eastAsia="仿宋"/>
          <w:color w:val="000000"/>
          <w:sz w:val="32"/>
          <w:szCs w:val="32"/>
          <w:highlight w:val="none"/>
          <w:shd w:val="clear" w:color="auto" w:fill="FFFFFF"/>
          <w:lang w:val="en-US" w:eastAsia="zh-CN"/>
        </w:rPr>
        <w:t>江岸</w:t>
      </w:r>
      <w:r>
        <w:rPr>
          <w:rFonts w:ascii="仿宋" w:hAnsi="仿宋" w:eastAsia="仿宋"/>
          <w:color w:val="000000"/>
          <w:sz w:val="32"/>
          <w:szCs w:val="32"/>
          <w:highlight w:val="none"/>
          <w:shd w:val="clear" w:color="auto" w:fill="FFFFFF"/>
        </w:rPr>
        <w:t>基金原则上不参与基金的日常管理，经与基金协商，通过项目合规性审核、委派观察员或投委会委员、对基金托管账户监管等措施，维护</w:t>
      </w:r>
      <w:r>
        <w:rPr>
          <w:rFonts w:hint="eastAsia" w:ascii="仿宋" w:hAnsi="仿宋" w:eastAsia="仿宋"/>
          <w:color w:val="000000"/>
          <w:sz w:val="32"/>
          <w:szCs w:val="32"/>
          <w:highlight w:val="none"/>
          <w:shd w:val="clear" w:color="auto" w:fill="FFFFFF"/>
          <w:lang w:val="en-US" w:eastAsia="zh-CN"/>
        </w:rPr>
        <w:t>江岸</w:t>
      </w:r>
      <w:r>
        <w:rPr>
          <w:rFonts w:ascii="仿宋" w:hAnsi="仿宋" w:eastAsia="仿宋"/>
          <w:color w:val="000000"/>
          <w:sz w:val="32"/>
          <w:szCs w:val="32"/>
          <w:highlight w:val="none"/>
          <w:shd w:val="clear" w:color="auto" w:fill="FFFFFF"/>
        </w:rPr>
        <w:t>基金权益。基金管理人须在投资决策前至少5个工作日将项目信息提交</w:t>
      </w:r>
      <w:r>
        <w:rPr>
          <w:rFonts w:hint="eastAsia" w:ascii="仿宋" w:hAnsi="仿宋" w:eastAsia="仿宋"/>
          <w:color w:val="000000"/>
          <w:sz w:val="32"/>
          <w:szCs w:val="32"/>
          <w:highlight w:val="none"/>
          <w:shd w:val="clear" w:color="auto" w:fill="FFFFFF"/>
          <w:lang w:val="en-US" w:eastAsia="zh-CN"/>
        </w:rPr>
        <w:t>江岸</w:t>
      </w:r>
      <w:r>
        <w:rPr>
          <w:rFonts w:ascii="仿宋" w:hAnsi="仿宋" w:eastAsia="仿宋"/>
          <w:color w:val="000000"/>
          <w:sz w:val="32"/>
          <w:szCs w:val="32"/>
          <w:highlight w:val="none"/>
          <w:shd w:val="clear" w:color="auto" w:fill="FFFFFF"/>
        </w:rPr>
        <w:t>基金。</w:t>
      </w:r>
      <w:r>
        <w:rPr>
          <w:rFonts w:hint="eastAsia" w:ascii="仿宋" w:hAnsi="仿宋" w:eastAsia="仿宋"/>
          <w:color w:val="000000"/>
          <w:sz w:val="32"/>
          <w:szCs w:val="32"/>
          <w:highlight w:val="none"/>
          <w:shd w:val="clear" w:color="auto" w:fill="FFFFFF"/>
          <w:lang w:val="en-US" w:eastAsia="zh-CN"/>
        </w:rPr>
        <w:t>江岸</w:t>
      </w:r>
      <w:r>
        <w:rPr>
          <w:rFonts w:ascii="仿宋" w:hAnsi="仿宋" w:eastAsia="仿宋"/>
          <w:color w:val="000000"/>
          <w:sz w:val="32"/>
          <w:szCs w:val="32"/>
          <w:highlight w:val="none"/>
          <w:shd w:val="clear" w:color="auto" w:fill="FFFFFF"/>
        </w:rPr>
        <w:t>基金对基金拟投资项目是否符合合伙协议、本申报指南及国家相关规定进行合规性审核。</w:t>
      </w:r>
    </w:p>
    <w:p w14:paraId="53DF4726">
      <w:pPr>
        <w:spacing w:line="560" w:lineRule="exact"/>
        <w:ind w:firstLine="640" w:firstLineChars="200"/>
        <w:rPr>
          <w:rFonts w:hint="eastAsia" w:ascii="仿宋" w:hAnsi="仿宋" w:eastAsia="仿宋"/>
          <w:color w:val="000000"/>
          <w:sz w:val="32"/>
          <w:szCs w:val="32"/>
          <w:shd w:val="clear" w:color="auto" w:fill="FFFFFF"/>
        </w:rPr>
      </w:pPr>
      <w:r>
        <w:rPr>
          <w:rFonts w:ascii="仿宋" w:hAnsi="仿宋" w:eastAsia="仿宋"/>
          <w:color w:val="000000"/>
          <w:sz w:val="32"/>
          <w:szCs w:val="32"/>
          <w:shd w:val="clear" w:color="auto" w:fill="FFFFFF"/>
        </w:rPr>
        <w:t>（</w:t>
      </w:r>
      <w:r>
        <w:rPr>
          <w:rFonts w:hint="eastAsia" w:ascii="仿宋" w:hAnsi="仿宋" w:eastAsia="仿宋"/>
          <w:color w:val="000000"/>
          <w:sz w:val="32"/>
          <w:szCs w:val="32"/>
          <w:shd w:val="clear" w:color="auto" w:fill="FFFFFF"/>
          <w:lang w:val="en-US" w:eastAsia="zh-CN"/>
        </w:rPr>
        <w:t>八</w:t>
      </w:r>
      <w:r>
        <w:rPr>
          <w:rFonts w:ascii="仿宋" w:hAnsi="仿宋" w:eastAsia="仿宋"/>
          <w:color w:val="000000"/>
          <w:sz w:val="32"/>
          <w:szCs w:val="32"/>
          <w:shd w:val="clear" w:color="auto" w:fill="FFFFFF"/>
        </w:rPr>
        <w:t>）专注度要求：</w:t>
      </w:r>
      <w:r>
        <w:rPr>
          <w:rFonts w:hint="eastAsia" w:ascii="仿宋" w:hAnsi="仿宋" w:eastAsia="仿宋"/>
          <w:color w:val="000000"/>
          <w:sz w:val="32"/>
          <w:szCs w:val="32"/>
          <w:shd w:val="clear" w:color="auto" w:fill="FFFFFF"/>
        </w:rPr>
        <w:t>母、子</w:t>
      </w:r>
      <w:r>
        <w:rPr>
          <w:rFonts w:ascii="仿宋" w:hAnsi="仿宋" w:eastAsia="仿宋"/>
          <w:color w:val="000000"/>
          <w:sz w:val="32"/>
          <w:szCs w:val="32"/>
          <w:shd w:val="clear" w:color="auto" w:fill="FFFFFF"/>
        </w:rPr>
        <w:t>基金合伙协议须对基金管理团队的核心人员进行锁定。被锁定人员如发生人员变动须经</w:t>
      </w:r>
      <w:r>
        <w:rPr>
          <w:rFonts w:hint="eastAsia" w:ascii="仿宋" w:hAnsi="仿宋" w:eastAsia="仿宋"/>
          <w:color w:val="000000"/>
          <w:sz w:val="32"/>
          <w:szCs w:val="32"/>
          <w:shd w:val="clear" w:color="auto" w:fill="FFFFFF"/>
        </w:rPr>
        <w:t>母、子基金</w:t>
      </w:r>
      <w:r>
        <w:rPr>
          <w:rFonts w:ascii="仿宋" w:hAnsi="仿宋" w:eastAsia="仿宋"/>
          <w:color w:val="000000"/>
          <w:sz w:val="32"/>
          <w:szCs w:val="32"/>
          <w:shd w:val="clear" w:color="auto" w:fill="FFFFFF"/>
        </w:rPr>
        <w:t>合伙人大会等基金相关权利机构表决通过</w:t>
      </w:r>
      <w:r>
        <w:rPr>
          <w:rFonts w:hint="eastAsia" w:ascii="仿宋" w:hAnsi="仿宋" w:eastAsia="仿宋"/>
          <w:color w:val="000000"/>
          <w:sz w:val="32"/>
          <w:szCs w:val="32"/>
          <w:shd w:val="clear" w:color="auto" w:fill="FFFFFF"/>
        </w:rPr>
        <w:t>并取得</w:t>
      </w:r>
      <w:r>
        <w:rPr>
          <w:rFonts w:hint="eastAsia" w:ascii="仿宋" w:hAnsi="仿宋" w:eastAsia="仿宋"/>
          <w:color w:val="000000"/>
          <w:sz w:val="32"/>
          <w:szCs w:val="32"/>
          <w:shd w:val="clear" w:color="auto" w:fill="FFFFFF"/>
          <w:lang w:val="en-US" w:eastAsia="zh-CN"/>
        </w:rPr>
        <w:t>江岸</w:t>
      </w:r>
      <w:r>
        <w:rPr>
          <w:rFonts w:hint="eastAsia" w:ascii="仿宋" w:hAnsi="仿宋" w:eastAsia="仿宋"/>
          <w:color w:val="000000"/>
          <w:sz w:val="32"/>
          <w:szCs w:val="32"/>
          <w:shd w:val="clear" w:color="auto" w:fill="FFFFFF"/>
        </w:rPr>
        <w:t>基金同意</w:t>
      </w:r>
      <w:r>
        <w:rPr>
          <w:rFonts w:ascii="仿宋" w:hAnsi="仿宋" w:eastAsia="仿宋"/>
          <w:color w:val="000000"/>
          <w:sz w:val="32"/>
          <w:szCs w:val="32"/>
          <w:shd w:val="clear" w:color="auto" w:fill="FFFFFF"/>
        </w:rPr>
        <w:t>。在</w:t>
      </w:r>
      <w:r>
        <w:rPr>
          <w:rFonts w:hint="eastAsia" w:ascii="仿宋" w:hAnsi="仿宋" w:eastAsia="仿宋"/>
          <w:color w:val="000000"/>
          <w:sz w:val="32"/>
          <w:szCs w:val="32"/>
          <w:shd w:val="clear" w:color="auto" w:fill="FFFFFF"/>
        </w:rPr>
        <w:t>母、子</w:t>
      </w:r>
      <w:r>
        <w:rPr>
          <w:rFonts w:ascii="仿宋" w:hAnsi="仿宋" w:eastAsia="仿宋"/>
          <w:color w:val="000000"/>
          <w:sz w:val="32"/>
          <w:szCs w:val="32"/>
          <w:shd w:val="clear" w:color="auto" w:fill="FFFFFF"/>
        </w:rPr>
        <w:t>基金完成70%的投资进度之前，</w:t>
      </w:r>
      <w:r>
        <w:rPr>
          <w:rFonts w:hint="eastAsia" w:ascii="仿宋" w:hAnsi="仿宋" w:eastAsia="仿宋"/>
          <w:color w:val="000000"/>
          <w:sz w:val="32"/>
          <w:szCs w:val="32"/>
          <w:shd w:val="clear" w:color="auto" w:fill="FFFFFF"/>
        </w:rPr>
        <w:t>被锁定人员不得作为其他基金（非</w:t>
      </w:r>
      <w:r>
        <w:rPr>
          <w:rFonts w:hint="eastAsia" w:ascii="仿宋" w:hAnsi="仿宋" w:eastAsia="仿宋"/>
          <w:color w:val="000000"/>
          <w:sz w:val="32"/>
          <w:szCs w:val="32"/>
          <w:highlight w:val="none"/>
          <w:shd w:val="clear" w:color="auto" w:fill="FFFFFF"/>
          <w:lang w:val="en-US" w:eastAsia="zh-CN"/>
        </w:rPr>
        <w:t>江岸</w:t>
      </w:r>
      <w:r>
        <w:rPr>
          <w:rFonts w:hint="eastAsia" w:ascii="仿宋" w:hAnsi="仿宋" w:eastAsia="仿宋"/>
          <w:color w:val="000000"/>
          <w:sz w:val="32"/>
          <w:szCs w:val="32"/>
          <w:shd w:val="clear" w:color="auto" w:fill="FFFFFF"/>
        </w:rPr>
        <w:t>基金出资基金）的关键人参与投资相同领域且相同地域的基金，母、子基金管理机构不得募集、管理相同投资领域且相同地域的其他基金</w:t>
      </w:r>
      <w:r>
        <w:rPr>
          <w:rFonts w:ascii="仿宋" w:hAnsi="仿宋" w:eastAsia="仿宋"/>
          <w:color w:val="000000"/>
          <w:sz w:val="32"/>
          <w:szCs w:val="32"/>
          <w:shd w:val="clear" w:color="auto" w:fill="FFFFFF"/>
        </w:rPr>
        <w:t>。</w:t>
      </w:r>
    </w:p>
    <w:p w14:paraId="7C00A364">
      <w:pPr>
        <w:spacing w:line="560" w:lineRule="exact"/>
        <w:ind w:firstLine="640" w:firstLineChars="200"/>
        <w:rPr>
          <w:rFonts w:hint="eastAsia" w:ascii="仿宋" w:hAnsi="仿宋" w:eastAsia="仿宋"/>
          <w:color w:val="000000"/>
          <w:sz w:val="32"/>
          <w:szCs w:val="32"/>
          <w:shd w:val="clear" w:color="auto" w:fill="FFFFFF"/>
          <w:lang w:val="en-US" w:eastAsia="zh-CN"/>
        </w:rPr>
      </w:pPr>
      <w:r>
        <w:rPr>
          <w:rFonts w:ascii="仿宋" w:hAnsi="仿宋" w:eastAsia="仿宋"/>
          <w:color w:val="000000"/>
          <w:sz w:val="32"/>
          <w:szCs w:val="32"/>
          <w:shd w:val="clear" w:color="auto" w:fill="FFFFFF"/>
        </w:rPr>
        <w:t>（</w:t>
      </w:r>
      <w:r>
        <w:rPr>
          <w:rFonts w:hint="eastAsia" w:ascii="仿宋" w:hAnsi="仿宋" w:eastAsia="仿宋"/>
          <w:color w:val="000000"/>
          <w:sz w:val="32"/>
          <w:szCs w:val="32"/>
          <w:shd w:val="clear" w:color="auto" w:fill="FFFFFF"/>
          <w:lang w:val="en-US" w:eastAsia="zh-CN"/>
        </w:rPr>
        <w:t>九</w:t>
      </w:r>
      <w:r>
        <w:rPr>
          <w:rFonts w:ascii="仿宋" w:hAnsi="仿宋" w:eastAsia="仿宋"/>
          <w:color w:val="000000"/>
          <w:sz w:val="32"/>
          <w:szCs w:val="32"/>
          <w:shd w:val="clear" w:color="auto" w:fill="FFFFFF"/>
        </w:rPr>
        <w:t>）资金托管：</w:t>
      </w:r>
      <w:r>
        <w:rPr>
          <w:rFonts w:hint="eastAsia" w:ascii="仿宋" w:hAnsi="仿宋" w:eastAsia="仿宋"/>
          <w:color w:val="000000"/>
          <w:sz w:val="32"/>
          <w:szCs w:val="32"/>
          <w:highlight w:val="none"/>
          <w:shd w:val="clear" w:color="auto" w:fill="FFFFFF"/>
          <w:lang w:val="en-US" w:eastAsia="zh-CN"/>
        </w:rPr>
        <w:t>江岸</w:t>
      </w:r>
      <w:r>
        <w:rPr>
          <w:rFonts w:hint="eastAsia" w:ascii="仿宋" w:hAnsi="仿宋" w:eastAsia="仿宋"/>
          <w:color w:val="000000"/>
          <w:sz w:val="32"/>
          <w:szCs w:val="32"/>
          <w:shd w:val="clear" w:color="auto" w:fill="FFFFFF"/>
        </w:rPr>
        <w:t>基金参与的母、子</w:t>
      </w:r>
      <w:r>
        <w:rPr>
          <w:rFonts w:ascii="仿宋" w:hAnsi="仿宋" w:eastAsia="仿宋"/>
          <w:color w:val="000000"/>
          <w:sz w:val="32"/>
          <w:szCs w:val="32"/>
          <w:shd w:val="clear" w:color="auto" w:fill="FFFFFF"/>
        </w:rPr>
        <w:t>基金应当委托</w:t>
      </w:r>
      <w:r>
        <w:rPr>
          <w:rFonts w:hint="eastAsia" w:ascii="仿宋" w:hAnsi="仿宋" w:eastAsia="仿宋"/>
          <w:color w:val="000000"/>
          <w:sz w:val="32"/>
          <w:szCs w:val="32"/>
          <w:shd w:val="clear" w:color="auto" w:fill="FFFFFF"/>
          <w:lang w:val="en-US" w:eastAsia="zh-CN"/>
        </w:rPr>
        <w:t>在中国境内设立的取得基金托管资格的</w:t>
      </w:r>
      <w:r>
        <w:rPr>
          <w:rFonts w:ascii="仿宋" w:hAnsi="仿宋" w:eastAsia="仿宋"/>
          <w:color w:val="000000"/>
          <w:sz w:val="32"/>
          <w:szCs w:val="32"/>
          <w:shd w:val="clear" w:color="auto" w:fill="FFFFFF"/>
        </w:rPr>
        <w:t>商业银行托管，托管银行</w:t>
      </w:r>
      <w:r>
        <w:rPr>
          <w:rFonts w:hint="eastAsia" w:ascii="仿宋" w:hAnsi="仿宋" w:eastAsia="仿宋"/>
          <w:color w:val="000000"/>
          <w:sz w:val="32"/>
          <w:szCs w:val="32"/>
          <w:shd w:val="clear" w:color="auto" w:fill="FFFFFF"/>
          <w:lang w:val="en-US" w:eastAsia="zh-CN"/>
        </w:rPr>
        <w:t>负责基金的资金保管、账户管理、资金清算等事务，对投资活动实施动态监管。托管银行应当至少符合以下条件：</w:t>
      </w:r>
    </w:p>
    <w:p w14:paraId="2F2D7D3C">
      <w:pPr>
        <w:spacing w:line="560" w:lineRule="exact"/>
        <w:ind w:firstLine="640" w:firstLineChars="200"/>
        <w:rPr>
          <w:rFonts w:hint="eastAsia" w:ascii="仿宋" w:hAnsi="仿宋" w:eastAsia="仿宋"/>
          <w:color w:val="000000"/>
          <w:sz w:val="32"/>
          <w:szCs w:val="32"/>
          <w:shd w:val="clear" w:color="auto" w:fill="FFFFFF"/>
          <w:lang w:eastAsia="zh-CN"/>
        </w:rPr>
      </w:pPr>
      <w:r>
        <w:rPr>
          <w:rFonts w:hint="eastAsia" w:ascii="仿宋" w:hAnsi="仿宋" w:eastAsia="仿宋"/>
          <w:color w:val="000000"/>
          <w:sz w:val="32"/>
          <w:szCs w:val="32"/>
          <w:shd w:val="clear" w:color="auto" w:fill="FFFFFF"/>
          <w:lang w:val="en-US" w:eastAsia="zh-CN"/>
        </w:rPr>
        <w:t>1.成立时间在</w:t>
      </w:r>
      <w:r>
        <w:rPr>
          <w:rFonts w:ascii="仿宋" w:hAnsi="仿宋" w:eastAsia="仿宋"/>
          <w:color w:val="000000"/>
          <w:sz w:val="32"/>
          <w:szCs w:val="32"/>
          <w:shd w:val="clear" w:color="auto" w:fill="FFFFFF"/>
        </w:rPr>
        <w:t>5年以上</w:t>
      </w:r>
      <w:r>
        <w:rPr>
          <w:rFonts w:hint="eastAsia" w:ascii="仿宋" w:hAnsi="仿宋" w:eastAsia="仿宋"/>
          <w:color w:val="000000"/>
          <w:sz w:val="32"/>
          <w:szCs w:val="32"/>
          <w:shd w:val="clear" w:color="auto" w:fill="FFFFFF"/>
          <w:lang w:eastAsia="zh-CN"/>
        </w:rPr>
        <w:t>；</w:t>
      </w:r>
    </w:p>
    <w:p w14:paraId="2339551B">
      <w:pPr>
        <w:spacing w:line="560" w:lineRule="exact"/>
        <w:ind w:firstLine="640" w:firstLineChars="200"/>
        <w:rPr>
          <w:rFonts w:hint="eastAsia" w:ascii="仿宋" w:hAnsi="仿宋" w:eastAsia="仿宋"/>
          <w:color w:val="000000"/>
          <w:sz w:val="32"/>
          <w:szCs w:val="32"/>
          <w:shd w:val="clear" w:color="auto" w:fill="FFFFFF"/>
          <w:lang w:val="en-US" w:eastAsia="zh-CN"/>
        </w:rPr>
      </w:pPr>
      <w:r>
        <w:rPr>
          <w:rFonts w:hint="eastAsia" w:ascii="仿宋" w:hAnsi="仿宋" w:eastAsia="仿宋"/>
          <w:color w:val="000000"/>
          <w:sz w:val="32"/>
          <w:szCs w:val="32"/>
          <w:shd w:val="clear" w:color="auto" w:fill="FFFFFF"/>
          <w:lang w:val="en-US" w:eastAsia="zh-CN"/>
        </w:rPr>
        <w:t>2.</w:t>
      </w:r>
      <w:r>
        <w:rPr>
          <w:rFonts w:ascii="仿宋" w:hAnsi="仿宋" w:eastAsia="仿宋"/>
          <w:color w:val="000000"/>
          <w:sz w:val="32"/>
          <w:szCs w:val="32"/>
          <w:shd w:val="clear" w:color="auto" w:fill="FFFFFF"/>
        </w:rPr>
        <w:t>具有</w:t>
      </w:r>
      <w:r>
        <w:rPr>
          <w:rFonts w:hint="eastAsia" w:ascii="仿宋" w:hAnsi="仿宋" w:eastAsia="仿宋"/>
          <w:color w:val="000000"/>
          <w:sz w:val="32"/>
          <w:szCs w:val="32"/>
          <w:shd w:val="clear" w:color="auto" w:fill="FFFFFF"/>
          <w:lang w:val="en-US" w:eastAsia="zh-CN"/>
        </w:rPr>
        <w:t>股权投资</w:t>
      </w:r>
      <w:r>
        <w:rPr>
          <w:rFonts w:ascii="仿宋" w:hAnsi="仿宋" w:eastAsia="仿宋"/>
          <w:color w:val="000000"/>
          <w:sz w:val="32"/>
          <w:szCs w:val="32"/>
          <w:shd w:val="clear" w:color="auto" w:fill="FFFFFF"/>
        </w:rPr>
        <w:t>基金托管资格和经验，</w:t>
      </w:r>
      <w:r>
        <w:rPr>
          <w:rFonts w:hint="eastAsia" w:ascii="仿宋" w:hAnsi="仿宋" w:eastAsia="仿宋"/>
          <w:color w:val="000000"/>
          <w:sz w:val="32"/>
          <w:szCs w:val="32"/>
          <w:shd w:val="clear" w:color="auto" w:fill="FFFFFF"/>
          <w:lang w:val="en-US" w:eastAsia="zh-CN"/>
        </w:rPr>
        <w:t>具备提供本地化服务的能力；</w:t>
      </w:r>
    </w:p>
    <w:p w14:paraId="1AE3BB77">
      <w:pPr>
        <w:pStyle w:val="7"/>
        <w:spacing w:line="560" w:lineRule="exact"/>
        <w:ind w:firstLine="640"/>
        <w:rPr>
          <w:rFonts w:hint="eastAsia" w:ascii="仿宋" w:hAnsi="仿宋" w:eastAsia="仿宋"/>
          <w:color w:val="000000"/>
          <w:sz w:val="32"/>
          <w:szCs w:val="32"/>
          <w:shd w:val="clear" w:color="auto" w:fill="FFFFFF"/>
          <w:lang w:val="en-US" w:eastAsia="zh-CN"/>
        </w:rPr>
      </w:pPr>
      <w:r>
        <w:rPr>
          <w:rFonts w:hint="eastAsia" w:ascii="仿宋" w:hAnsi="仿宋" w:eastAsia="仿宋"/>
          <w:color w:val="000000"/>
          <w:sz w:val="32"/>
          <w:szCs w:val="32"/>
          <w:shd w:val="clear" w:color="auto" w:fill="FFFFFF"/>
          <w:lang w:val="en-US" w:eastAsia="zh-CN"/>
        </w:rPr>
        <w:t>3.有完善的基金托管、稽核监控和风险控制制度；</w:t>
      </w:r>
    </w:p>
    <w:p w14:paraId="1F4521A3">
      <w:pPr>
        <w:spacing w:line="560" w:lineRule="exact"/>
        <w:ind w:firstLine="640" w:firstLineChars="200"/>
        <w:rPr>
          <w:rFonts w:hint="eastAsia" w:ascii="仿宋" w:hAnsi="仿宋" w:eastAsia="仿宋"/>
          <w:color w:val="000000"/>
          <w:sz w:val="32"/>
          <w:szCs w:val="32"/>
          <w:shd w:val="clear" w:color="auto" w:fill="FFFFFF"/>
        </w:rPr>
      </w:pPr>
      <w:r>
        <w:rPr>
          <w:rFonts w:hint="eastAsia" w:ascii="仿宋" w:hAnsi="仿宋" w:eastAsia="仿宋"/>
          <w:color w:val="000000"/>
          <w:sz w:val="32"/>
          <w:szCs w:val="32"/>
          <w:shd w:val="clear" w:color="auto" w:fill="FFFFFF"/>
          <w:lang w:val="en-US" w:eastAsia="zh-CN"/>
        </w:rPr>
        <w:t>4.在基金托管业务方面最</w:t>
      </w:r>
      <w:r>
        <w:rPr>
          <w:rFonts w:ascii="仿宋" w:hAnsi="仿宋" w:eastAsia="仿宋"/>
          <w:color w:val="000000"/>
          <w:sz w:val="32"/>
          <w:szCs w:val="32"/>
          <w:shd w:val="clear" w:color="auto" w:fill="FFFFFF"/>
        </w:rPr>
        <w:t>近3年无重大过失</w:t>
      </w:r>
      <w:r>
        <w:rPr>
          <w:rFonts w:hint="eastAsia" w:ascii="仿宋" w:hAnsi="仿宋" w:eastAsia="仿宋"/>
          <w:color w:val="000000"/>
          <w:sz w:val="32"/>
          <w:szCs w:val="32"/>
          <w:shd w:val="clear" w:color="auto" w:fill="FFFFFF"/>
          <w:lang w:val="en-US" w:eastAsia="zh-CN"/>
        </w:rPr>
        <w:t>以及行政主管部门或司法机关处罚的不良记录</w:t>
      </w:r>
      <w:r>
        <w:rPr>
          <w:rFonts w:ascii="仿宋" w:hAnsi="仿宋" w:eastAsia="仿宋"/>
          <w:color w:val="000000"/>
          <w:sz w:val="32"/>
          <w:szCs w:val="32"/>
          <w:shd w:val="clear" w:color="auto" w:fill="FFFFFF"/>
        </w:rPr>
        <w:t>。</w:t>
      </w:r>
    </w:p>
    <w:p w14:paraId="0F7DCB3D">
      <w:pPr>
        <w:spacing w:line="560" w:lineRule="exact"/>
        <w:ind w:firstLine="640" w:firstLineChars="200"/>
        <w:rPr>
          <w:rFonts w:hint="eastAsia" w:ascii="仿宋" w:hAnsi="仿宋" w:eastAsia="仿宋"/>
          <w:color w:val="000000"/>
          <w:sz w:val="32"/>
          <w:szCs w:val="32"/>
          <w:shd w:val="clear" w:color="auto" w:fill="FFFFFF"/>
        </w:rPr>
      </w:pPr>
      <w:r>
        <w:rPr>
          <w:rFonts w:ascii="仿宋" w:hAnsi="仿宋" w:eastAsia="仿宋"/>
          <w:color w:val="000000"/>
          <w:sz w:val="32"/>
          <w:szCs w:val="32"/>
          <w:shd w:val="clear" w:color="auto" w:fill="FFFFFF"/>
        </w:rPr>
        <w:t>（十）收益分配：基金投资项目退出后，投资回收资金不得再用于对外投资，须及时按合伙协议等相关协议的约定向投资人进行分配。分配</w:t>
      </w:r>
      <w:r>
        <w:rPr>
          <w:rFonts w:hint="eastAsia" w:ascii="仿宋" w:hAnsi="仿宋" w:eastAsia="仿宋"/>
          <w:color w:val="000000"/>
          <w:sz w:val="32"/>
          <w:szCs w:val="32"/>
          <w:shd w:val="clear" w:color="auto" w:fill="FFFFFF"/>
        </w:rPr>
        <w:t>原则上</w:t>
      </w:r>
      <w:r>
        <w:rPr>
          <w:rFonts w:ascii="仿宋" w:hAnsi="仿宋" w:eastAsia="仿宋"/>
          <w:color w:val="000000"/>
          <w:sz w:val="32"/>
          <w:szCs w:val="32"/>
          <w:shd w:val="clear" w:color="auto" w:fill="FFFFFF"/>
        </w:rPr>
        <w:t>采取“先回本后分利”方式，</w:t>
      </w:r>
      <w:r>
        <w:rPr>
          <w:rFonts w:hint="eastAsia" w:ascii="仿宋" w:hAnsi="仿宋" w:eastAsia="仿宋"/>
          <w:color w:val="000000"/>
          <w:sz w:val="32"/>
          <w:szCs w:val="32"/>
          <w:shd w:val="clear" w:color="auto" w:fill="FFFFFF"/>
        </w:rPr>
        <w:t>也可根据基金实际情况，由</w:t>
      </w:r>
      <w:r>
        <w:rPr>
          <w:rFonts w:hint="eastAsia" w:ascii="仿宋" w:hAnsi="仿宋" w:eastAsia="仿宋"/>
          <w:color w:val="000000"/>
          <w:sz w:val="32"/>
          <w:szCs w:val="32"/>
          <w:highlight w:val="none"/>
          <w:shd w:val="clear" w:color="auto" w:fill="FFFFFF"/>
          <w:lang w:val="en-US" w:eastAsia="zh-CN"/>
        </w:rPr>
        <w:t>江岸</w:t>
      </w:r>
      <w:r>
        <w:rPr>
          <w:rFonts w:hint="eastAsia" w:ascii="仿宋" w:hAnsi="仿宋" w:eastAsia="仿宋"/>
          <w:color w:val="000000"/>
          <w:sz w:val="32"/>
          <w:szCs w:val="32"/>
          <w:shd w:val="clear" w:color="auto" w:fill="FFFFFF"/>
        </w:rPr>
        <w:t>基金和其他出资人协商确定</w:t>
      </w:r>
      <w:r>
        <w:rPr>
          <w:rFonts w:ascii="仿宋" w:hAnsi="仿宋" w:eastAsia="仿宋"/>
          <w:color w:val="000000"/>
          <w:sz w:val="32"/>
          <w:szCs w:val="32"/>
          <w:shd w:val="clear" w:color="auto" w:fill="FFFFFF"/>
        </w:rPr>
        <w:t>。</w:t>
      </w:r>
    </w:p>
    <w:p w14:paraId="21F929F6">
      <w:pPr>
        <w:spacing w:line="560" w:lineRule="exact"/>
        <w:ind w:firstLine="640" w:firstLineChars="200"/>
        <w:rPr>
          <w:rFonts w:hint="eastAsia" w:ascii="仿宋" w:hAnsi="仿宋" w:eastAsia="仿宋"/>
          <w:color w:val="000000"/>
          <w:sz w:val="32"/>
          <w:szCs w:val="32"/>
          <w:highlight w:val="yellow"/>
          <w:shd w:val="clear" w:color="auto" w:fill="FFFFFF"/>
        </w:rPr>
      </w:pPr>
      <w:r>
        <w:rPr>
          <w:rFonts w:ascii="仿宋" w:hAnsi="仿宋" w:eastAsia="仿宋"/>
          <w:color w:val="000000"/>
          <w:sz w:val="32"/>
          <w:szCs w:val="32"/>
          <w:shd w:val="clear" w:color="auto" w:fill="FFFFFF"/>
        </w:rPr>
        <w:t>（十</w:t>
      </w:r>
      <w:r>
        <w:rPr>
          <w:rFonts w:hint="eastAsia" w:ascii="仿宋" w:hAnsi="仿宋" w:eastAsia="仿宋"/>
          <w:color w:val="000000"/>
          <w:sz w:val="32"/>
          <w:szCs w:val="32"/>
          <w:shd w:val="clear" w:color="auto" w:fill="FFFFFF"/>
          <w:lang w:val="en-US" w:eastAsia="zh-CN"/>
        </w:rPr>
        <w:t>一</w:t>
      </w:r>
      <w:r>
        <w:rPr>
          <w:rFonts w:ascii="仿宋" w:hAnsi="仿宋" w:eastAsia="仿宋"/>
          <w:color w:val="000000"/>
          <w:sz w:val="32"/>
          <w:szCs w:val="32"/>
          <w:shd w:val="clear" w:color="auto" w:fill="FFFFFF"/>
        </w:rPr>
        <w:t>）投资限制</w:t>
      </w:r>
    </w:p>
    <w:p w14:paraId="0111C1D6">
      <w:pPr>
        <w:spacing w:line="560" w:lineRule="exact"/>
        <w:ind w:firstLine="640" w:firstLineChars="200"/>
        <w:rPr>
          <w:rFonts w:hint="eastAsia" w:ascii="仿宋" w:hAnsi="仿宋" w:eastAsia="仿宋"/>
          <w:color w:val="000000"/>
          <w:sz w:val="32"/>
          <w:szCs w:val="32"/>
          <w:shd w:val="clear" w:color="auto" w:fill="FFFFFF"/>
        </w:rPr>
      </w:pPr>
      <w:r>
        <w:rPr>
          <w:rFonts w:hint="eastAsia" w:ascii="仿宋" w:hAnsi="仿宋" w:eastAsia="仿宋"/>
          <w:color w:val="000000"/>
          <w:sz w:val="32"/>
          <w:szCs w:val="32"/>
          <w:shd w:val="clear" w:color="auto" w:fill="FFFFFF"/>
        </w:rPr>
        <w:t>母、子</w:t>
      </w:r>
      <w:r>
        <w:rPr>
          <w:rFonts w:ascii="仿宋" w:hAnsi="仿宋" w:eastAsia="仿宋"/>
          <w:color w:val="000000"/>
          <w:sz w:val="32"/>
          <w:szCs w:val="32"/>
          <w:shd w:val="clear" w:color="auto" w:fill="FFFFFF"/>
        </w:rPr>
        <w:t>基金不得从事以下业务：</w:t>
      </w:r>
    </w:p>
    <w:p w14:paraId="2F3C8EF5">
      <w:pPr>
        <w:spacing w:line="560" w:lineRule="exact"/>
        <w:ind w:firstLine="640" w:firstLineChars="200"/>
        <w:rPr>
          <w:rFonts w:hint="eastAsia" w:ascii="仿宋" w:hAnsi="仿宋" w:eastAsia="仿宋"/>
          <w:color w:val="000000"/>
          <w:sz w:val="32"/>
          <w:szCs w:val="32"/>
          <w:shd w:val="clear" w:color="auto" w:fill="FFFFFF"/>
        </w:rPr>
      </w:pPr>
      <w:r>
        <w:rPr>
          <w:rFonts w:ascii="仿宋" w:hAnsi="仿宋" w:eastAsia="仿宋"/>
          <w:color w:val="000000"/>
          <w:sz w:val="32"/>
          <w:szCs w:val="32"/>
          <w:shd w:val="clear" w:color="auto" w:fill="FFFFFF"/>
        </w:rPr>
        <w:t>1.</w:t>
      </w:r>
      <w:r>
        <w:rPr>
          <w:rFonts w:hint="eastAsia" w:ascii="仿宋" w:hAnsi="仿宋" w:eastAsia="仿宋"/>
          <w:color w:val="000000"/>
          <w:sz w:val="32"/>
          <w:szCs w:val="32"/>
          <w:shd w:val="clear" w:color="auto" w:fill="FFFFFF"/>
          <w:lang w:val="en-US" w:eastAsia="zh-CN"/>
        </w:rPr>
        <w:t>从事</w:t>
      </w:r>
      <w:r>
        <w:rPr>
          <w:rFonts w:ascii="仿宋" w:hAnsi="仿宋" w:eastAsia="仿宋"/>
          <w:color w:val="000000"/>
          <w:sz w:val="32"/>
          <w:szCs w:val="32"/>
          <w:shd w:val="clear" w:color="auto" w:fill="FFFFFF"/>
        </w:rPr>
        <w:t>担保、抵押、委托贷款等业务；</w:t>
      </w:r>
    </w:p>
    <w:p w14:paraId="00936364">
      <w:pPr>
        <w:spacing w:line="560" w:lineRule="exact"/>
        <w:ind w:firstLine="640" w:firstLineChars="200"/>
        <w:rPr>
          <w:rFonts w:hint="eastAsia" w:ascii="仿宋" w:hAnsi="仿宋" w:eastAsia="仿宋"/>
          <w:color w:val="000000"/>
          <w:sz w:val="32"/>
          <w:szCs w:val="32"/>
          <w:shd w:val="clear" w:color="auto" w:fill="FFFFFF"/>
        </w:rPr>
      </w:pPr>
      <w:r>
        <w:rPr>
          <w:rFonts w:ascii="仿宋" w:hAnsi="仿宋" w:eastAsia="仿宋"/>
          <w:color w:val="000000"/>
          <w:sz w:val="32"/>
          <w:szCs w:val="32"/>
          <w:shd w:val="clear" w:color="auto" w:fill="FFFFFF"/>
        </w:rPr>
        <w:t>2.投资二级市场股票</w:t>
      </w:r>
      <w:r>
        <w:rPr>
          <w:rFonts w:hint="eastAsia" w:ascii="仿宋" w:hAnsi="仿宋" w:eastAsia="仿宋"/>
          <w:color w:val="000000"/>
          <w:sz w:val="32"/>
          <w:szCs w:val="32"/>
          <w:shd w:val="clear" w:color="auto" w:fill="FFFFFF"/>
        </w:rPr>
        <w:t>（参与上市公司定向增发除外）</w:t>
      </w:r>
      <w:r>
        <w:rPr>
          <w:rFonts w:ascii="仿宋" w:hAnsi="仿宋" w:eastAsia="仿宋"/>
          <w:color w:val="000000"/>
          <w:sz w:val="32"/>
          <w:szCs w:val="32"/>
          <w:shd w:val="clear" w:color="auto" w:fill="FFFFFF"/>
        </w:rPr>
        <w:t>、期货、房地产、证券投资基金、评级AAA以下的企业债、信托产品、非保本型理财产品、保险计划及其他金融衍生品；</w:t>
      </w:r>
    </w:p>
    <w:p w14:paraId="4AA52ECC">
      <w:pPr>
        <w:spacing w:line="560" w:lineRule="exact"/>
        <w:ind w:firstLine="640" w:firstLineChars="200"/>
        <w:rPr>
          <w:rFonts w:hint="eastAsia" w:ascii="仿宋" w:hAnsi="仿宋" w:eastAsia="仿宋"/>
          <w:color w:val="000000"/>
          <w:sz w:val="32"/>
          <w:szCs w:val="32"/>
          <w:shd w:val="clear" w:color="auto" w:fill="FFFFFF"/>
        </w:rPr>
      </w:pPr>
      <w:r>
        <w:rPr>
          <w:rFonts w:ascii="仿宋" w:hAnsi="仿宋" w:eastAsia="仿宋"/>
          <w:color w:val="000000"/>
          <w:sz w:val="32"/>
          <w:szCs w:val="32"/>
          <w:shd w:val="clear" w:color="auto" w:fill="FFFFFF"/>
        </w:rPr>
        <w:t>3.向任何第三方提供赞助、捐赠；</w:t>
      </w:r>
    </w:p>
    <w:p w14:paraId="384CB377">
      <w:pPr>
        <w:spacing w:line="560" w:lineRule="exact"/>
        <w:ind w:firstLine="640" w:firstLineChars="200"/>
        <w:rPr>
          <w:rFonts w:hint="eastAsia" w:ascii="仿宋" w:hAnsi="仿宋" w:eastAsia="仿宋"/>
          <w:color w:val="000000"/>
          <w:sz w:val="32"/>
          <w:szCs w:val="32"/>
          <w:shd w:val="clear" w:color="auto" w:fill="FFFFFF"/>
        </w:rPr>
      </w:pPr>
      <w:r>
        <w:rPr>
          <w:rFonts w:ascii="仿宋" w:hAnsi="仿宋" w:eastAsia="仿宋"/>
          <w:color w:val="000000"/>
          <w:sz w:val="32"/>
          <w:szCs w:val="32"/>
          <w:shd w:val="clear" w:color="auto" w:fill="FFFFFF"/>
        </w:rPr>
        <w:t>4.吸收或变相吸收存款，或向第三方提供贷款和资金拆借；</w:t>
      </w:r>
    </w:p>
    <w:p w14:paraId="0860D300">
      <w:pPr>
        <w:spacing w:line="560" w:lineRule="exact"/>
        <w:ind w:firstLine="640" w:firstLineChars="200"/>
        <w:rPr>
          <w:rFonts w:hint="eastAsia" w:ascii="仿宋" w:hAnsi="仿宋" w:eastAsia="仿宋"/>
          <w:color w:val="000000"/>
          <w:sz w:val="32"/>
          <w:szCs w:val="32"/>
          <w:shd w:val="clear" w:color="auto" w:fill="FFFFFF"/>
        </w:rPr>
      </w:pPr>
      <w:r>
        <w:rPr>
          <w:rFonts w:ascii="仿宋" w:hAnsi="仿宋" w:eastAsia="仿宋"/>
          <w:color w:val="000000"/>
          <w:sz w:val="32"/>
          <w:szCs w:val="32"/>
          <w:shd w:val="clear" w:color="auto" w:fill="FFFFFF"/>
        </w:rPr>
        <w:t>5.进行承担无限连带责任的对外投资；</w:t>
      </w:r>
    </w:p>
    <w:p w14:paraId="36A16119">
      <w:pPr>
        <w:spacing w:line="560" w:lineRule="exact"/>
        <w:ind w:firstLine="640" w:firstLineChars="200"/>
        <w:rPr>
          <w:rFonts w:ascii="仿宋" w:hAnsi="仿宋" w:eastAsia="仿宋"/>
          <w:color w:val="000000"/>
          <w:sz w:val="32"/>
          <w:szCs w:val="32"/>
          <w:shd w:val="clear" w:color="auto" w:fill="FFFFFF"/>
        </w:rPr>
      </w:pPr>
      <w:r>
        <w:rPr>
          <w:rFonts w:ascii="仿宋" w:hAnsi="仿宋" w:eastAsia="仿宋"/>
          <w:color w:val="000000"/>
          <w:sz w:val="32"/>
          <w:szCs w:val="32"/>
          <w:shd w:val="clear" w:color="auto" w:fill="FFFFFF"/>
        </w:rPr>
        <w:t>6.发行信托或集合理财产品募集资金；</w:t>
      </w:r>
    </w:p>
    <w:p w14:paraId="69697E0C">
      <w:pPr>
        <w:spacing w:line="560" w:lineRule="exact"/>
        <w:ind w:firstLine="640" w:firstLineChars="200"/>
        <w:rPr>
          <w:rFonts w:hint="default" w:ascii="仿宋" w:hAnsi="仿宋" w:eastAsia="仿宋"/>
          <w:color w:val="000000"/>
          <w:sz w:val="32"/>
          <w:szCs w:val="32"/>
          <w:shd w:val="clear" w:color="auto" w:fill="FFFFFF"/>
          <w:lang w:val="en-US" w:eastAsia="zh-CN"/>
        </w:rPr>
      </w:pPr>
      <w:r>
        <w:rPr>
          <w:rFonts w:hint="eastAsia" w:ascii="仿宋" w:hAnsi="仿宋" w:eastAsia="仿宋"/>
          <w:color w:val="000000"/>
          <w:sz w:val="32"/>
          <w:szCs w:val="32"/>
          <w:shd w:val="clear" w:color="auto" w:fill="FFFFFF"/>
          <w:lang w:val="en-US" w:eastAsia="zh-CN"/>
        </w:rPr>
        <w:t>7.名股实债、名基实储；</w:t>
      </w:r>
    </w:p>
    <w:p w14:paraId="45932EAF">
      <w:pPr>
        <w:spacing w:line="560" w:lineRule="exact"/>
        <w:ind w:firstLine="640" w:firstLineChars="200"/>
        <w:rPr>
          <w:rFonts w:hint="default" w:ascii="仿宋" w:hAnsi="仿宋" w:eastAsia="仿宋"/>
          <w:color w:val="000000"/>
          <w:sz w:val="32"/>
          <w:szCs w:val="32"/>
          <w:shd w:val="clear" w:color="auto" w:fill="FFFFFF"/>
          <w:lang w:val="en-US" w:eastAsia="zh-CN"/>
        </w:rPr>
      </w:pPr>
      <w:r>
        <w:rPr>
          <w:rFonts w:hint="eastAsia" w:ascii="仿宋" w:hAnsi="仿宋" w:eastAsia="仿宋"/>
          <w:color w:val="000000"/>
          <w:sz w:val="32"/>
          <w:szCs w:val="32"/>
          <w:shd w:val="clear" w:color="auto" w:fill="FFFFFF"/>
          <w:lang w:val="en-US" w:eastAsia="zh-CN"/>
        </w:rPr>
        <w:t>8.投向国家禁止、限制投资或者不符合国家相关产业政策的项目；</w:t>
      </w:r>
    </w:p>
    <w:p w14:paraId="4F6727F1">
      <w:pPr>
        <w:spacing w:line="560" w:lineRule="exact"/>
        <w:ind w:firstLine="640" w:firstLineChars="200"/>
        <w:rPr>
          <w:rFonts w:hint="default" w:ascii="仿宋" w:hAnsi="仿宋" w:eastAsia="仿宋"/>
          <w:color w:val="000000"/>
          <w:sz w:val="32"/>
          <w:szCs w:val="32"/>
          <w:shd w:val="clear" w:color="auto" w:fill="FFFFFF"/>
          <w:lang w:val="en-US" w:eastAsia="zh-CN"/>
        </w:rPr>
      </w:pPr>
      <w:r>
        <w:rPr>
          <w:rFonts w:hint="eastAsia" w:ascii="仿宋" w:hAnsi="仿宋" w:eastAsia="仿宋"/>
          <w:color w:val="000000"/>
          <w:sz w:val="32"/>
          <w:szCs w:val="32"/>
          <w:shd w:val="clear" w:color="auto" w:fill="FFFFFF"/>
          <w:lang w:val="en-US" w:eastAsia="zh-CN"/>
        </w:rPr>
        <w:t>9</w:t>
      </w:r>
      <w:r>
        <w:rPr>
          <w:rFonts w:ascii="仿宋" w:hAnsi="仿宋" w:eastAsia="仿宋"/>
          <w:color w:val="000000"/>
          <w:sz w:val="32"/>
          <w:szCs w:val="32"/>
          <w:shd w:val="clear" w:color="auto" w:fill="FFFFFF"/>
        </w:rPr>
        <w:t>.</w:t>
      </w:r>
      <w:r>
        <w:rPr>
          <w:rFonts w:hint="eastAsia" w:ascii="仿宋" w:hAnsi="仿宋" w:eastAsia="仿宋"/>
          <w:color w:val="000000"/>
          <w:sz w:val="32"/>
          <w:szCs w:val="32"/>
          <w:shd w:val="clear" w:color="auto" w:fill="FFFFFF"/>
          <w:lang w:val="en-US" w:eastAsia="zh-CN"/>
        </w:rPr>
        <w:t>将基金投资作为招商引资优惠条件；</w:t>
      </w:r>
    </w:p>
    <w:p w14:paraId="0EFA20E6">
      <w:pPr>
        <w:spacing w:line="560" w:lineRule="exact"/>
        <w:ind w:firstLine="640" w:firstLineChars="200"/>
        <w:rPr>
          <w:rFonts w:hint="eastAsia" w:ascii="仿宋" w:hAnsi="仿宋" w:eastAsia="仿宋"/>
          <w:color w:val="000000"/>
          <w:sz w:val="32"/>
          <w:szCs w:val="32"/>
          <w:shd w:val="clear" w:color="auto" w:fill="FFFFFF"/>
          <w:lang w:val="en-US" w:eastAsia="zh-CN"/>
        </w:rPr>
      </w:pPr>
      <w:r>
        <w:rPr>
          <w:rFonts w:hint="eastAsia" w:ascii="仿宋" w:hAnsi="仿宋" w:eastAsia="仿宋"/>
          <w:color w:val="000000"/>
          <w:sz w:val="32"/>
          <w:szCs w:val="32"/>
          <w:shd w:val="clear" w:color="auto" w:fill="FFFFFF"/>
          <w:lang w:val="en-US" w:eastAsia="zh-CN"/>
        </w:rPr>
        <w:t>10.</w:t>
      </w:r>
      <w:r>
        <w:rPr>
          <w:rFonts w:ascii="仿宋" w:hAnsi="仿宋" w:eastAsia="仿宋"/>
          <w:color w:val="000000"/>
          <w:sz w:val="32"/>
          <w:szCs w:val="32"/>
          <w:shd w:val="clear" w:color="auto" w:fill="FFFFFF"/>
        </w:rPr>
        <w:t>其他国家法律法规禁止从事的业务</w:t>
      </w:r>
      <w:r>
        <w:rPr>
          <w:rFonts w:hint="eastAsia" w:ascii="仿宋" w:hAnsi="仿宋" w:eastAsia="仿宋"/>
          <w:color w:val="000000"/>
          <w:sz w:val="32"/>
          <w:szCs w:val="32"/>
          <w:shd w:val="clear" w:color="auto" w:fill="FFFFFF"/>
          <w:lang w:eastAsia="zh-CN"/>
        </w:rPr>
        <w:t>。</w:t>
      </w:r>
    </w:p>
    <w:p w14:paraId="5E4913E2">
      <w:pPr>
        <w:spacing w:line="560" w:lineRule="exact"/>
        <w:ind w:firstLine="640" w:firstLineChars="200"/>
        <w:rPr>
          <w:rFonts w:hint="eastAsia" w:ascii="仿宋" w:hAnsi="仿宋" w:eastAsia="仿宋" w:cs="仿宋"/>
          <w:sz w:val="32"/>
          <w:szCs w:val="32"/>
        </w:rPr>
      </w:pPr>
      <w:r>
        <w:rPr>
          <w:rFonts w:ascii="仿宋" w:hAnsi="仿宋" w:eastAsia="仿宋"/>
          <w:color w:val="000000"/>
          <w:sz w:val="32"/>
          <w:szCs w:val="32"/>
          <w:shd w:val="clear" w:color="auto" w:fill="FFFFFF"/>
        </w:rPr>
        <w:t>（十</w:t>
      </w:r>
      <w:r>
        <w:rPr>
          <w:rFonts w:hint="eastAsia" w:ascii="仿宋" w:hAnsi="仿宋" w:eastAsia="仿宋"/>
          <w:color w:val="000000"/>
          <w:sz w:val="32"/>
          <w:szCs w:val="32"/>
          <w:shd w:val="clear" w:color="auto" w:fill="FFFFFF"/>
          <w:lang w:val="en-US" w:eastAsia="zh-CN"/>
        </w:rPr>
        <w:t>二</w:t>
      </w:r>
      <w:r>
        <w:rPr>
          <w:rFonts w:ascii="仿宋" w:hAnsi="仿宋" w:eastAsia="仿宋"/>
          <w:color w:val="000000"/>
          <w:sz w:val="32"/>
          <w:szCs w:val="32"/>
          <w:shd w:val="clear" w:color="auto" w:fill="FFFFFF"/>
        </w:rPr>
        <w:t>）强制退出：</w:t>
      </w:r>
      <w:r>
        <w:rPr>
          <w:rFonts w:hint="eastAsia" w:ascii="仿宋" w:hAnsi="仿宋" w:eastAsia="仿宋"/>
          <w:color w:val="000000"/>
          <w:sz w:val="32"/>
          <w:szCs w:val="32"/>
          <w:shd w:val="clear" w:color="auto" w:fill="FFFFFF"/>
        </w:rPr>
        <w:t>母、子基金管理机构未按照</w:t>
      </w: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江岸区政府投资</w:t>
      </w:r>
      <w:r>
        <w:rPr>
          <w:rFonts w:hint="eastAsia" w:ascii="仿宋" w:hAnsi="仿宋" w:eastAsia="仿宋" w:cs="仿宋"/>
          <w:color w:val="000000" w:themeColor="text1"/>
          <w:sz w:val="32"/>
          <w:szCs w:val="32"/>
          <w14:textFill>
            <w14:solidFill>
              <w14:schemeClr w14:val="tx1"/>
            </w14:solidFill>
          </w14:textFill>
        </w:rPr>
        <w:t>基金管理办法》</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江岸区政府产业投资类基金管理办法</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江岸区政府创业投资类基金管理办法</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sz w:val="32"/>
          <w:szCs w:val="32"/>
        </w:rPr>
        <w:t>、本申报指南、基金合伙协议以及与</w:t>
      </w:r>
      <w:r>
        <w:rPr>
          <w:rFonts w:hint="eastAsia" w:ascii="仿宋" w:hAnsi="仿宋" w:eastAsia="仿宋" w:cs="仿宋"/>
          <w:sz w:val="32"/>
          <w:szCs w:val="32"/>
          <w:lang w:val="en-US" w:eastAsia="zh-CN"/>
        </w:rPr>
        <w:t>江岸</w:t>
      </w:r>
      <w:r>
        <w:rPr>
          <w:rFonts w:hint="eastAsia" w:ascii="仿宋" w:hAnsi="仿宋" w:eastAsia="仿宋" w:cs="仿宋"/>
          <w:sz w:val="32"/>
          <w:szCs w:val="32"/>
        </w:rPr>
        <w:t>基金签署的其他协议约定执行的，</w:t>
      </w:r>
      <w:r>
        <w:rPr>
          <w:rFonts w:hint="eastAsia" w:ascii="仿宋" w:hAnsi="仿宋" w:eastAsia="仿宋"/>
          <w:color w:val="000000"/>
          <w:sz w:val="32"/>
          <w:szCs w:val="32"/>
          <w:highlight w:val="none"/>
          <w:shd w:val="clear" w:color="auto" w:fill="FFFFFF"/>
          <w:lang w:val="en-US" w:eastAsia="zh-CN"/>
        </w:rPr>
        <w:t>江岸</w:t>
      </w:r>
      <w:r>
        <w:rPr>
          <w:rFonts w:hint="eastAsia" w:ascii="仿宋" w:hAnsi="仿宋" w:eastAsia="仿宋" w:cs="仿宋"/>
          <w:sz w:val="32"/>
          <w:szCs w:val="32"/>
        </w:rPr>
        <w:t>基金有权责令其限期整改并暂停对该基金投资。对整改合格的母、子基金管理机构，</w:t>
      </w:r>
      <w:r>
        <w:rPr>
          <w:rFonts w:hint="eastAsia" w:ascii="仿宋" w:hAnsi="仿宋" w:eastAsia="仿宋"/>
          <w:color w:val="000000"/>
          <w:sz w:val="32"/>
          <w:szCs w:val="32"/>
          <w:highlight w:val="none"/>
          <w:shd w:val="clear" w:color="auto" w:fill="FFFFFF"/>
          <w:lang w:val="en-US" w:eastAsia="zh-CN"/>
        </w:rPr>
        <w:t>江岸</w:t>
      </w:r>
      <w:r>
        <w:rPr>
          <w:rFonts w:hint="eastAsia" w:ascii="仿宋" w:hAnsi="仿宋" w:eastAsia="仿宋" w:cs="仿宋"/>
          <w:sz w:val="32"/>
          <w:szCs w:val="32"/>
        </w:rPr>
        <w:t>基金可恢复对其母、子基金的投资；对整改不合格的母、子基金管理机构，</w:t>
      </w:r>
      <w:r>
        <w:rPr>
          <w:rFonts w:hint="eastAsia" w:ascii="仿宋" w:hAnsi="仿宋" w:eastAsia="仿宋"/>
          <w:color w:val="000000"/>
          <w:sz w:val="32"/>
          <w:szCs w:val="32"/>
          <w:highlight w:val="none"/>
          <w:shd w:val="clear" w:color="auto" w:fill="FFFFFF"/>
          <w:lang w:val="en-US" w:eastAsia="zh-CN"/>
        </w:rPr>
        <w:t>江岸</w:t>
      </w:r>
      <w:r>
        <w:rPr>
          <w:rFonts w:hint="eastAsia" w:ascii="仿宋" w:hAnsi="仿宋" w:eastAsia="仿宋" w:cs="仿宋"/>
          <w:sz w:val="32"/>
          <w:szCs w:val="32"/>
        </w:rPr>
        <w:t>基金有权启动强制退出程序。</w:t>
      </w:r>
    </w:p>
    <w:p w14:paraId="3EE9A373">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有下列情形之一的，</w:t>
      </w:r>
      <w:r>
        <w:rPr>
          <w:rFonts w:hint="eastAsia" w:ascii="仿宋" w:hAnsi="仿宋" w:eastAsia="仿宋"/>
          <w:color w:val="000000"/>
          <w:sz w:val="32"/>
          <w:szCs w:val="32"/>
          <w:highlight w:val="none"/>
          <w:shd w:val="clear" w:color="auto" w:fill="FFFFFF"/>
          <w:lang w:val="en-US" w:eastAsia="zh-CN"/>
        </w:rPr>
        <w:t>江岸</w:t>
      </w:r>
      <w:r>
        <w:rPr>
          <w:rFonts w:hint="eastAsia" w:ascii="仿宋" w:hAnsi="仿宋" w:eastAsia="仿宋" w:cs="仿宋"/>
          <w:sz w:val="32"/>
          <w:szCs w:val="32"/>
        </w:rPr>
        <w:t>基金有权单方选择退出，母、子基金其他出资人须签署一切必要的文件或履行所有必要的程序以确保</w:t>
      </w:r>
      <w:r>
        <w:rPr>
          <w:rFonts w:hint="eastAsia" w:ascii="仿宋" w:hAnsi="仿宋" w:eastAsia="仿宋"/>
          <w:color w:val="000000"/>
          <w:sz w:val="32"/>
          <w:szCs w:val="32"/>
          <w:highlight w:val="none"/>
          <w:shd w:val="clear" w:color="auto" w:fill="FFFFFF"/>
          <w:lang w:val="en-US" w:eastAsia="zh-CN"/>
        </w:rPr>
        <w:t>江岸</w:t>
      </w:r>
      <w:r>
        <w:rPr>
          <w:rFonts w:hint="eastAsia" w:ascii="仿宋" w:hAnsi="仿宋" w:eastAsia="仿宋" w:cs="仿宋"/>
          <w:sz w:val="32"/>
          <w:szCs w:val="32"/>
        </w:rPr>
        <w:t>基金退出，退出价格按照母、子基金合伙协议约定计算，因</w:t>
      </w:r>
      <w:r>
        <w:rPr>
          <w:rFonts w:hint="eastAsia" w:ascii="仿宋" w:hAnsi="仿宋" w:eastAsia="仿宋"/>
          <w:color w:val="000000"/>
          <w:sz w:val="32"/>
          <w:szCs w:val="32"/>
          <w:highlight w:val="none"/>
          <w:shd w:val="clear" w:color="auto" w:fill="FFFFFF"/>
          <w:lang w:val="en-US" w:eastAsia="zh-CN"/>
        </w:rPr>
        <w:t>江岸</w:t>
      </w:r>
      <w:r>
        <w:rPr>
          <w:rFonts w:hint="eastAsia" w:ascii="仿宋" w:hAnsi="仿宋" w:eastAsia="仿宋" w:cs="仿宋"/>
          <w:sz w:val="32"/>
          <w:szCs w:val="32"/>
        </w:rPr>
        <w:t>基金退出而产生的风险和损失</w:t>
      </w:r>
      <w:r>
        <w:rPr>
          <w:rFonts w:hint="eastAsia" w:ascii="仿宋" w:hAnsi="仿宋" w:eastAsia="仿宋" w:cs="仿宋"/>
          <w:sz w:val="32"/>
          <w:szCs w:val="32"/>
          <w:lang w:val="en-US" w:eastAsia="zh-CN"/>
        </w:rPr>
        <w:t>有权追究</w:t>
      </w:r>
      <w:r>
        <w:rPr>
          <w:rFonts w:hint="eastAsia" w:ascii="仿宋" w:hAnsi="仿宋" w:eastAsia="仿宋" w:cs="仿宋"/>
          <w:sz w:val="32"/>
          <w:szCs w:val="32"/>
        </w:rPr>
        <w:t>母、子基金管理机构</w:t>
      </w:r>
      <w:r>
        <w:rPr>
          <w:rFonts w:hint="eastAsia" w:ascii="仿宋" w:hAnsi="仿宋" w:eastAsia="仿宋" w:cs="仿宋"/>
          <w:sz w:val="32"/>
          <w:szCs w:val="32"/>
          <w:lang w:val="en-US" w:eastAsia="zh-CN"/>
        </w:rPr>
        <w:t>相应责任</w:t>
      </w:r>
      <w:r>
        <w:rPr>
          <w:rFonts w:hint="eastAsia" w:ascii="仿宋" w:hAnsi="仿宋" w:eastAsia="仿宋" w:cs="仿宋"/>
          <w:sz w:val="32"/>
          <w:szCs w:val="32"/>
        </w:rPr>
        <w:t>：</w:t>
      </w:r>
    </w:p>
    <w:p w14:paraId="61478EC4">
      <w:pPr>
        <w:spacing w:line="560" w:lineRule="exact"/>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rPr>
        <w:t>1.基金</w:t>
      </w:r>
      <w:r>
        <w:rPr>
          <w:rFonts w:hint="eastAsia" w:ascii="仿宋" w:hAnsi="仿宋" w:eastAsia="仿宋" w:cs="仿宋"/>
          <w:sz w:val="32"/>
          <w:szCs w:val="32"/>
          <w:lang w:val="en-US" w:eastAsia="zh-CN"/>
        </w:rPr>
        <w:t>方案批准后超过1年，未按规定程序和时间要求完成设立手续的；</w:t>
      </w:r>
    </w:p>
    <w:p w14:paraId="12BB376D">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2.江岸</w:t>
      </w:r>
      <w:r>
        <w:rPr>
          <w:rFonts w:hint="eastAsia" w:ascii="仿宋" w:hAnsi="仿宋" w:eastAsia="仿宋" w:cs="仿宋"/>
          <w:sz w:val="32"/>
          <w:szCs w:val="32"/>
        </w:rPr>
        <w:t>基金出资拨付至母、子基金账户</w:t>
      </w:r>
      <w:r>
        <w:rPr>
          <w:rFonts w:hint="eastAsia" w:ascii="仿宋" w:hAnsi="仿宋" w:eastAsia="仿宋" w:cs="仿宋"/>
          <w:sz w:val="32"/>
          <w:szCs w:val="32"/>
          <w:lang w:val="en-US" w:eastAsia="zh-CN"/>
        </w:rPr>
        <w:t>1年以上</w:t>
      </w:r>
      <w:r>
        <w:rPr>
          <w:rFonts w:hint="eastAsia" w:ascii="仿宋" w:hAnsi="仿宋" w:eastAsia="仿宋" w:cs="仿宋"/>
          <w:sz w:val="32"/>
          <w:szCs w:val="32"/>
        </w:rPr>
        <w:t>，</w:t>
      </w:r>
      <w:r>
        <w:rPr>
          <w:rFonts w:hint="eastAsia" w:ascii="仿宋" w:hAnsi="仿宋" w:eastAsia="仿宋" w:cs="仿宋"/>
          <w:sz w:val="32"/>
          <w:szCs w:val="32"/>
          <w:lang w:val="en-US" w:eastAsia="zh-CN"/>
        </w:rPr>
        <w:t>基金未开展投资业务的</w:t>
      </w:r>
      <w:r>
        <w:rPr>
          <w:rFonts w:hint="eastAsia" w:ascii="仿宋" w:hAnsi="仿宋" w:eastAsia="仿宋" w:cs="仿宋"/>
          <w:sz w:val="32"/>
          <w:szCs w:val="32"/>
        </w:rPr>
        <w:t>；</w:t>
      </w:r>
    </w:p>
    <w:p w14:paraId="50B97668">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rPr>
        <w:t>.基金投资领域和方向不符合政策目标的；</w:t>
      </w:r>
    </w:p>
    <w:p w14:paraId="75A3BE88">
      <w:pPr>
        <w:spacing w:line="560" w:lineRule="exact"/>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4</w:t>
      </w:r>
      <w:r>
        <w:rPr>
          <w:rFonts w:hint="eastAsia" w:ascii="仿宋" w:hAnsi="仿宋" w:eastAsia="仿宋" w:cs="仿宋"/>
          <w:sz w:val="32"/>
          <w:szCs w:val="32"/>
        </w:rPr>
        <w:t>.</w:t>
      </w:r>
      <w:r>
        <w:rPr>
          <w:rFonts w:hint="eastAsia" w:ascii="仿宋" w:hAnsi="仿宋" w:eastAsia="仿宋" w:cs="仿宋"/>
          <w:sz w:val="32"/>
          <w:szCs w:val="32"/>
          <w:lang w:val="en-US" w:eastAsia="zh-CN"/>
        </w:rPr>
        <w:t>因基金管理人、其他出资人故意或重大过失行为可能严重损害江岸基金出资利益的；</w:t>
      </w:r>
    </w:p>
    <w:p w14:paraId="1F67DD72">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5.</w:t>
      </w:r>
      <w:r>
        <w:rPr>
          <w:rFonts w:hint="eastAsia" w:ascii="仿宋" w:hAnsi="仿宋" w:eastAsia="仿宋" w:cs="仿宋"/>
          <w:sz w:val="32"/>
          <w:szCs w:val="32"/>
        </w:rPr>
        <w:t>其他不符合</w:t>
      </w:r>
      <w:r>
        <w:rPr>
          <w:rFonts w:hint="eastAsia" w:ascii="仿宋" w:hAnsi="仿宋" w:eastAsia="仿宋" w:cs="仿宋"/>
          <w:sz w:val="32"/>
          <w:szCs w:val="32"/>
          <w:lang w:val="en-US" w:eastAsia="zh-CN"/>
        </w:rPr>
        <w:t>基金协议</w:t>
      </w:r>
      <w:r>
        <w:rPr>
          <w:rFonts w:hint="eastAsia" w:ascii="仿宋" w:hAnsi="仿宋" w:eastAsia="仿宋" w:cs="仿宋"/>
          <w:sz w:val="32"/>
          <w:szCs w:val="32"/>
        </w:rPr>
        <w:t>（章程）约定情形的。</w:t>
      </w:r>
    </w:p>
    <w:p w14:paraId="6DB7CCEE">
      <w:pPr>
        <w:spacing w:line="560" w:lineRule="exact"/>
        <w:ind w:firstLine="640" w:firstLineChars="200"/>
        <w:rPr>
          <w:rFonts w:hint="eastAsia" w:ascii="仿宋" w:hAnsi="仿宋" w:eastAsia="仿宋"/>
          <w:color w:val="000000"/>
          <w:sz w:val="32"/>
          <w:szCs w:val="32"/>
          <w:shd w:val="clear" w:color="auto" w:fill="FFFFFF"/>
        </w:rPr>
      </w:pPr>
      <w:r>
        <w:rPr>
          <w:rFonts w:hint="eastAsia" w:ascii="仿宋" w:hAnsi="仿宋" w:eastAsia="仿宋"/>
          <w:color w:val="000000"/>
          <w:sz w:val="32"/>
          <w:szCs w:val="32"/>
          <w:shd w:val="clear" w:color="auto" w:fill="FFFFFF"/>
        </w:rPr>
        <w:t>（十</w:t>
      </w:r>
      <w:r>
        <w:rPr>
          <w:rFonts w:hint="eastAsia" w:ascii="仿宋" w:hAnsi="仿宋" w:eastAsia="仿宋"/>
          <w:color w:val="000000"/>
          <w:sz w:val="32"/>
          <w:szCs w:val="32"/>
          <w:shd w:val="clear" w:color="auto" w:fill="FFFFFF"/>
          <w:lang w:val="en-US" w:eastAsia="zh-CN"/>
        </w:rPr>
        <w:t>三</w:t>
      </w:r>
      <w:r>
        <w:rPr>
          <w:rFonts w:hint="eastAsia" w:ascii="仿宋" w:hAnsi="仿宋" w:eastAsia="仿宋"/>
          <w:color w:val="000000"/>
          <w:sz w:val="32"/>
          <w:szCs w:val="32"/>
          <w:shd w:val="clear" w:color="auto" w:fill="FFFFFF"/>
        </w:rPr>
        <w:t>）信息披露</w:t>
      </w:r>
    </w:p>
    <w:p w14:paraId="404E89E7">
      <w:pPr>
        <w:spacing w:line="560" w:lineRule="exact"/>
        <w:ind w:firstLine="640" w:firstLineChars="200"/>
        <w:rPr>
          <w:rFonts w:hint="eastAsia" w:ascii="仿宋" w:hAnsi="仿宋" w:eastAsia="仿宋"/>
          <w:color w:val="000000"/>
          <w:sz w:val="32"/>
          <w:szCs w:val="32"/>
          <w:shd w:val="clear" w:color="auto" w:fill="FFFFFF"/>
        </w:rPr>
      </w:pPr>
      <w:r>
        <w:rPr>
          <w:rFonts w:hint="eastAsia" w:ascii="仿宋" w:hAnsi="仿宋" w:eastAsia="仿宋"/>
          <w:color w:val="000000"/>
          <w:sz w:val="32"/>
          <w:szCs w:val="32"/>
          <w:shd w:val="clear" w:color="auto" w:fill="FFFFFF"/>
        </w:rPr>
        <w:t>母、子基金管理机构应当建立母、子基金重大事项披露制度。母、子基金须定期向</w:t>
      </w:r>
      <w:r>
        <w:rPr>
          <w:rFonts w:hint="eastAsia" w:ascii="仿宋" w:hAnsi="仿宋" w:eastAsia="仿宋" w:cs="仿宋"/>
          <w:sz w:val="32"/>
          <w:szCs w:val="32"/>
          <w:lang w:val="en-US" w:eastAsia="zh-CN"/>
        </w:rPr>
        <w:t>江岸</w:t>
      </w:r>
      <w:r>
        <w:rPr>
          <w:rFonts w:hint="eastAsia" w:ascii="仿宋" w:hAnsi="仿宋" w:eastAsia="仿宋"/>
          <w:color w:val="000000"/>
          <w:sz w:val="32"/>
          <w:szCs w:val="32"/>
          <w:shd w:val="clear" w:color="auto" w:fill="FFFFFF"/>
        </w:rPr>
        <w:t>基金提交母、子基金运营报告、经审计的母、子基金财务报告和银行托管报告等，</w:t>
      </w:r>
      <w:r>
        <w:rPr>
          <w:rFonts w:hint="eastAsia" w:ascii="仿宋" w:hAnsi="仿宋" w:eastAsia="仿宋" w:cs="仿宋"/>
          <w:sz w:val="32"/>
          <w:szCs w:val="32"/>
          <w:lang w:val="en-US" w:eastAsia="zh-CN"/>
        </w:rPr>
        <w:t>江岸</w:t>
      </w:r>
      <w:r>
        <w:rPr>
          <w:rFonts w:hint="eastAsia" w:ascii="仿宋" w:hAnsi="仿宋" w:eastAsia="仿宋"/>
          <w:color w:val="000000"/>
          <w:sz w:val="32"/>
          <w:szCs w:val="32"/>
          <w:shd w:val="clear" w:color="auto" w:fill="FFFFFF"/>
        </w:rPr>
        <w:t>基金视工作需要有权委托专业机构对母、子基金进行审计。</w:t>
      </w:r>
    </w:p>
    <w:p w14:paraId="3C90A725">
      <w:pPr>
        <w:spacing w:line="560" w:lineRule="exact"/>
        <w:ind w:firstLine="640" w:firstLineChars="200"/>
        <w:rPr>
          <w:rFonts w:hint="default" w:ascii="仿宋" w:hAnsi="仿宋" w:eastAsia="仿宋"/>
          <w:color w:val="000000"/>
          <w:sz w:val="32"/>
          <w:szCs w:val="32"/>
          <w:shd w:val="clear" w:color="auto" w:fill="FFFFFF"/>
          <w:lang w:val="en-US" w:eastAsia="zh-CN"/>
        </w:rPr>
      </w:pPr>
      <w:r>
        <w:rPr>
          <w:rFonts w:hint="eastAsia" w:ascii="仿宋" w:hAnsi="仿宋" w:eastAsia="仿宋"/>
          <w:color w:val="000000"/>
          <w:sz w:val="32"/>
          <w:szCs w:val="32"/>
          <w:shd w:val="clear" w:color="auto" w:fill="FFFFFF"/>
        </w:rPr>
        <w:t>（十</w:t>
      </w:r>
      <w:r>
        <w:rPr>
          <w:rFonts w:hint="eastAsia" w:ascii="仿宋" w:hAnsi="仿宋" w:eastAsia="仿宋"/>
          <w:color w:val="000000"/>
          <w:sz w:val="32"/>
          <w:szCs w:val="32"/>
          <w:shd w:val="clear" w:color="auto" w:fill="FFFFFF"/>
          <w:lang w:val="en-US" w:eastAsia="zh-CN"/>
        </w:rPr>
        <w:t>四</w:t>
      </w:r>
      <w:r>
        <w:rPr>
          <w:rFonts w:hint="eastAsia" w:ascii="仿宋" w:hAnsi="仿宋" w:eastAsia="仿宋"/>
          <w:color w:val="000000"/>
          <w:sz w:val="32"/>
          <w:szCs w:val="32"/>
          <w:shd w:val="clear" w:color="auto" w:fill="FFFFFF"/>
        </w:rPr>
        <w:t>）</w:t>
      </w:r>
      <w:r>
        <w:rPr>
          <w:rFonts w:hint="eastAsia" w:ascii="仿宋" w:hAnsi="仿宋" w:eastAsia="仿宋"/>
          <w:color w:val="000000"/>
          <w:sz w:val="32"/>
          <w:szCs w:val="32"/>
          <w:shd w:val="clear" w:color="auto" w:fill="FFFFFF"/>
          <w:lang w:val="en-US" w:eastAsia="zh-CN"/>
        </w:rPr>
        <w:t>基金估值</w:t>
      </w:r>
    </w:p>
    <w:p w14:paraId="5C4210E2">
      <w:pPr>
        <w:spacing w:line="560" w:lineRule="exact"/>
        <w:ind w:firstLine="640" w:firstLineChars="200"/>
        <w:rPr>
          <w:rFonts w:hint="eastAsia" w:ascii="仿宋" w:hAnsi="仿宋" w:eastAsia="仿宋"/>
          <w:color w:val="000000"/>
          <w:sz w:val="32"/>
          <w:szCs w:val="32"/>
          <w:shd w:val="clear" w:color="auto" w:fill="FFFFFF"/>
        </w:rPr>
      </w:pPr>
      <w:r>
        <w:rPr>
          <w:rFonts w:hint="eastAsia" w:ascii="仿宋" w:hAnsi="仿宋" w:eastAsia="仿宋"/>
          <w:color w:val="000000"/>
          <w:sz w:val="32"/>
          <w:szCs w:val="32"/>
          <w:shd w:val="clear" w:color="auto" w:fill="FFFFFF"/>
        </w:rPr>
        <w:t>基金管理人可以委托第三方机构对</w:t>
      </w:r>
      <w:r>
        <w:rPr>
          <w:rFonts w:hint="eastAsia" w:ascii="仿宋" w:hAnsi="仿宋" w:eastAsia="仿宋"/>
          <w:color w:val="000000"/>
          <w:sz w:val="32"/>
          <w:szCs w:val="32"/>
          <w:shd w:val="clear" w:color="auto" w:fill="FFFFFF"/>
          <w:lang w:val="en-US" w:eastAsia="zh-CN"/>
        </w:rPr>
        <w:t>基金投资</w:t>
      </w:r>
      <w:r>
        <w:rPr>
          <w:rFonts w:hint="eastAsia" w:ascii="仿宋" w:hAnsi="仿宋" w:eastAsia="仿宋"/>
          <w:color w:val="000000"/>
          <w:sz w:val="32"/>
          <w:szCs w:val="32"/>
          <w:shd w:val="clear" w:color="auto" w:fill="FFFFFF"/>
        </w:rPr>
        <w:t>项目估值的公允性进行评估，及时披露项目风险等级变化、风险处置进度等。基金</w:t>
      </w:r>
      <w:r>
        <w:rPr>
          <w:rFonts w:hint="eastAsia" w:ascii="仿宋" w:hAnsi="仿宋" w:eastAsia="仿宋"/>
          <w:color w:val="000000"/>
          <w:sz w:val="32"/>
          <w:szCs w:val="32"/>
          <w:shd w:val="clear" w:color="auto" w:fill="FFFFFF"/>
          <w:lang w:val="en-US" w:eastAsia="zh-CN"/>
        </w:rPr>
        <w:t>项目</w:t>
      </w:r>
      <w:r>
        <w:rPr>
          <w:rFonts w:hint="eastAsia" w:ascii="仿宋" w:hAnsi="仿宋" w:eastAsia="仿宋"/>
          <w:color w:val="000000"/>
          <w:sz w:val="32"/>
          <w:szCs w:val="32"/>
          <w:shd w:val="clear" w:color="auto" w:fill="FFFFFF"/>
        </w:rPr>
        <w:t>估值应当遵循公允审慎的原则。</w:t>
      </w:r>
    </w:p>
    <w:p w14:paraId="01998D91">
      <w:pPr>
        <w:spacing w:line="560" w:lineRule="exact"/>
        <w:ind w:firstLine="640" w:firstLineChars="200"/>
        <w:rPr>
          <w:rFonts w:hint="eastAsia" w:ascii="仿宋" w:hAnsi="仿宋" w:eastAsia="仿宋"/>
          <w:color w:val="000000"/>
          <w:sz w:val="32"/>
          <w:szCs w:val="32"/>
          <w:shd w:val="clear" w:color="auto" w:fill="FFFFFF"/>
        </w:rPr>
      </w:pPr>
      <w:r>
        <w:rPr>
          <w:rFonts w:hint="eastAsia" w:ascii="仿宋" w:hAnsi="仿宋" w:eastAsia="仿宋"/>
          <w:color w:val="000000"/>
          <w:sz w:val="32"/>
          <w:szCs w:val="32"/>
          <w:shd w:val="clear" w:color="auto" w:fill="FFFFFF"/>
        </w:rPr>
        <w:t>基金管理人作为估值的第一责任人，应当按照《企业会计准则第22号一金融工具确认和计量》和中国证券投资基金业协会关于基金估值的相关要求，科学开展基金估值，动态监控基金估值变化情况。在每个会计年度结束后半年以内，将基金估值报告及估值依据等向</w:t>
      </w:r>
      <w:r>
        <w:rPr>
          <w:rFonts w:hint="eastAsia" w:ascii="仿宋" w:hAnsi="仿宋" w:eastAsia="仿宋"/>
          <w:color w:val="000000"/>
          <w:sz w:val="32"/>
          <w:szCs w:val="32"/>
          <w:shd w:val="clear" w:color="auto" w:fill="FFFFFF"/>
          <w:lang w:val="en-US" w:eastAsia="zh-CN"/>
        </w:rPr>
        <w:t>江岸基金</w:t>
      </w:r>
      <w:r>
        <w:rPr>
          <w:rFonts w:hint="eastAsia" w:ascii="仿宋" w:hAnsi="仿宋" w:eastAsia="仿宋"/>
          <w:color w:val="000000"/>
          <w:sz w:val="32"/>
          <w:szCs w:val="32"/>
          <w:shd w:val="clear" w:color="auto" w:fill="FFFFFF"/>
        </w:rPr>
        <w:t>和行业主管部门报告。对单项投资估值低于投资成本的，基金管理人应当采取风险应对措施，防范投资风险。</w:t>
      </w:r>
    </w:p>
    <w:p w14:paraId="115800C3">
      <w:pPr>
        <w:spacing w:line="560" w:lineRule="exact"/>
        <w:ind w:firstLine="640" w:firstLineChars="200"/>
        <w:rPr>
          <w:rFonts w:hint="eastAsia" w:ascii="仿宋" w:hAnsi="仿宋" w:eastAsia="仿宋" w:cs="仿宋"/>
          <w:color w:val="000000"/>
          <w:sz w:val="32"/>
          <w:szCs w:val="32"/>
        </w:rPr>
      </w:pPr>
      <w:r>
        <w:rPr>
          <w:rFonts w:hint="eastAsia" w:ascii="仿宋" w:hAnsi="仿宋" w:eastAsia="仿宋"/>
          <w:color w:val="000000"/>
          <w:sz w:val="32"/>
          <w:szCs w:val="32"/>
          <w:shd w:val="clear" w:color="auto" w:fill="FFFFFF"/>
        </w:rPr>
        <w:t>基金管理人应当聘请会计师事务所对基金财产进行审计，并在审计报告中就基金估值作专项说明。</w:t>
      </w:r>
    </w:p>
    <w:sectPr>
      <w:footerReference r:id="rId5" w:type="default"/>
      <w:pgSz w:w="11906" w:h="16838"/>
      <w:pgMar w:top="1440" w:right="1800" w:bottom="1440" w:left="180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西文标题">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中文标题">
    <w:altName w:val="Segoe Print"/>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FA521D">
    <w:pPr>
      <w:pStyle w:val="21"/>
      <w:jc w:val="center"/>
      <w:rPr>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680E86">
                          <w:pPr>
                            <w:pStyle w:val="21"/>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4F680E86">
                    <w:pPr>
                      <w:pStyle w:val="21"/>
                    </w:pPr>
                    <w:r>
                      <w:fldChar w:fldCharType="begin"/>
                    </w:r>
                    <w:r>
                      <w:instrText xml:space="preserve"> PAGE  \* MERGEFORMAT </w:instrText>
                    </w:r>
                    <w:r>
                      <w:fldChar w:fldCharType="separate"/>
                    </w:r>
                    <w:r>
                      <w:t>11</w:t>
                    </w:r>
                    <w:r>
                      <w:fldChar w:fldCharType="end"/>
                    </w:r>
                  </w:p>
                </w:txbxContent>
              </v:textbox>
            </v:shape>
          </w:pict>
        </mc:Fallback>
      </mc:AlternateContent>
    </w:r>
  </w:p>
  <w:p w14:paraId="6ACE4858">
    <w:pPr>
      <w:pStyle w:val="21"/>
      <w:jc w:val="right"/>
      <w:rPr>
        <w:rFonts w:hint="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88" w:lineRule="auto"/>
      </w:pPr>
      <w:r>
        <w:separator/>
      </w:r>
    </w:p>
  </w:footnote>
  <w:footnote w:type="continuationSeparator" w:id="1">
    <w:p>
      <w:pPr>
        <w:spacing w:before="0" w:after="0" w:line="288"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9EF6AC7"/>
    <w:multiLevelType w:val="multilevel"/>
    <w:tmpl w:val="A9EF6AC7"/>
    <w:lvl w:ilvl="0" w:tentative="0">
      <w:start w:val="1"/>
      <w:numFmt w:val="japaneseCounting"/>
      <w:lvlText w:val="%1、"/>
      <w:lvlJc w:val="left"/>
      <w:pPr>
        <w:ind w:left="1303" w:hanging="660"/>
      </w:pPr>
      <w:rPr>
        <w:rFonts w:hint="default"/>
      </w:rPr>
    </w:lvl>
    <w:lvl w:ilvl="1" w:tentative="0">
      <w:start w:val="1"/>
      <w:numFmt w:val="lowerLetter"/>
      <w:lvlText w:val="%2)"/>
      <w:lvlJc w:val="left"/>
      <w:pPr>
        <w:ind w:left="1483" w:hanging="420"/>
      </w:pPr>
    </w:lvl>
    <w:lvl w:ilvl="2" w:tentative="0">
      <w:start w:val="1"/>
      <w:numFmt w:val="lowerRoman"/>
      <w:lvlText w:val="%3."/>
      <w:lvlJc w:val="right"/>
      <w:pPr>
        <w:ind w:left="1903" w:hanging="420"/>
      </w:pPr>
    </w:lvl>
    <w:lvl w:ilvl="3" w:tentative="0">
      <w:start w:val="1"/>
      <w:numFmt w:val="decimal"/>
      <w:lvlText w:val="%4."/>
      <w:lvlJc w:val="left"/>
      <w:pPr>
        <w:ind w:left="2323" w:hanging="420"/>
      </w:pPr>
    </w:lvl>
    <w:lvl w:ilvl="4" w:tentative="0">
      <w:start w:val="1"/>
      <w:numFmt w:val="lowerLetter"/>
      <w:lvlText w:val="%5)"/>
      <w:lvlJc w:val="left"/>
      <w:pPr>
        <w:ind w:left="2743" w:hanging="420"/>
      </w:pPr>
    </w:lvl>
    <w:lvl w:ilvl="5" w:tentative="0">
      <w:start w:val="1"/>
      <w:numFmt w:val="lowerRoman"/>
      <w:lvlText w:val="%6."/>
      <w:lvlJc w:val="right"/>
      <w:pPr>
        <w:ind w:left="3163" w:hanging="420"/>
      </w:pPr>
    </w:lvl>
    <w:lvl w:ilvl="6" w:tentative="0">
      <w:start w:val="1"/>
      <w:numFmt w:val="decimal"/>
      <w:lvlText w:val="%7."/>
      <w:lvlJc w:val="left"/>
      <w:pPr>
        <w:ind w:left="3583" w:hanging="420"/>
      </w:pPr>
    </w:lvl>
    <w:lvl w:ilvl="7" w:tentative="0">
      <w:start w:val="1"/>
      <w:numFmt w:val="lowerLetter"/>
      <w:lvlText w:val="%8)"/>
      <w:lvlJc w:val="left"/>
      <w:pPr>
        <w:ind w:left="4003" w:hanging="420"/>
      </w:pPr>
    </w:lvl>
    <w:lvl w:ilvl="8" w:tentative="0">
      <w:start w:val="1"/>
      <w:numFmt w:val="lowerRoman"/>
      <w:lvlText w:val="%9."/>
      <w:lvlJc w:val="right"/>
      <w:pPr>
        <w:ind w:left="4423"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QyOGFiMDJiMjdjZjg0ZTgxODY3ZTEwNjg0MDIwNzMifQ=="/>
  </w:docVars>
  <w:rsids>
    <w:rsidRoot w:val="003F460E"/>
    <w:rsid w:val="00091125"/>
    <w:rsid w:val="00375BF4"/>
    <w:rsid w:val="003B6DBA"/>
    <w:rsid w:val="003C299B"/>
    <w:rsid w:val="003E734B"/>
    <w:rsid w:val="003F460E"/>
    <w:rsid w:val="00436E0C"/>
    <w:rsid w:val="00472DF9"/>
    <w:rsid w:val="00475DA3"/>
    <w:rsid w:val="004E2B62"/>
    <w:rsid w:val="00523E91"/>
    <w:rsid w:val="00525A7C"/>
    <w:rsid w:val="00722847"/>
    <w:rsid w:val="007B45F6"/>
    <w:rsid w:val="00802CD5"/>
    <w:rsid w:val="00806FCB"/>
    <w:rsid w:val="0084698E"/>
    <w:rsid w:val="00851850"/>
    <w:rsid w:val="00866EBB"/>
    <w:rsid w:val="008D6312"/>
    <w:rsid w:val="00A50B71"/>
    <w:rsid w:val="00A73E87"/>
    <w:rsid w:val="00AF093D"/>
    <w:rsid w:val="00AF4485"/>
    <w:rsid w:val="00AF59F3"/>
    <w:rsid w:val="00BF2A94"/>
    <w:rsid w:val="00C03950"/>
    <w:rsid w:val="00C46380"/>
    <w:rsid w:val="00D12BDE"/>
    <w:rsid w:val="00D874C9"/>
    <w:rsid w:val="00E65FD3"/>
    <w:rsid w:val="00E76BE9"/>
    <w:rsid w:val="00E94FCD"/>
    <w:rsid w:val="00EA2C41"/>
    <w:rsid w:val="00ED1689"/>
    <w:rsid w:val="00F51F94"/>
    <w:rsid w:val="00F71B88"/>
    <w:rsid w:val="00F84CC6"/>
    <w:rsid w:val="00FC27E3"/>
    <w:rsid w:val="01983012"/>
    <w:rsid w:val="01B627B4"/>
    <w:rsid w:val="024E5F3B"/>
    <w:rsid w:val="032E0115"/>
    <w:rsid w:val="037E11A0"/>
    <w:rsid w:val="03944DF9"/>
    <w:rsid w:val="03E56DE9"/>
    <w:rsid w:val="04CD5A0C"/>
    <w:rsid w:val="05405942"/>
    <w:rsid w:val="05B14031"/>
    <w:rsid w:val="05B9381A"/>
    <w:rsid w:val="05D95B44"/>
    <w:rsid w:val="0677688D"/>
    <w:rsid w:val="06C45BDB"/>
    <w:rsid w:val="077D57C6"/>
    <w:rsid w:val="07C13DD9"/>
    <w:rsid w:val="08BB54B2"/>
    <w:rsid w:val="0A1C72DC"/>
    <w:rsid w:val="0ACE05D7"/>
    <w:rsid w:val="0AF94A31"/>
    <w:rsid w:val="0BD35867"/>
    <w:rsid w:val="0C383385"/>
    <w:rsid w:val="0C811679"/>
    <w:rsid w:val="0CB82154"/>
    <w:rsid w:val="0CBF036D"/>
    <w:rsid w:val="0CE5259D"/>
    <w:rsid w:val="0DDB70EE"/>
    <w:rsid w:val="0E6B68A7"/>
    <w:rsid w:val="0EC817E1"/>
    <w:rsid w:val="0F79222C"/>
    <w:rsid w:val="103C0330"/>
    <w:rsid w:val="10563D68"/>
    <w:rsid w:val="108A318E"/>
    <w:rsid w:val="10C22467"/>
    <w:rsid w:val="10D12A1E"/>
    <w:rsid w:val="12062308"/>
    <w:rsid w:val="123E5728"/>
    <w:rsid w:val="124A70DD"/>
    <w:rsid w:val="13123A12"/>
    <w:rsid w:val="137141F5"/>
    <w:rsid w:val="13C65847"/>
    <w:rsid w:val="14720172"/>
    <w:rsid w:val="15E51670"/>
    <w:rsid w:val="16175E0E"/>
    <w:rsid w:val="162B6201"/>
    <w:rsid w:val="16922A91"/>
    <w:rsid w:val="169F22F8"/>
    <w:rsid w:val="16AF0059"/>
    <w:rsid w:val="16FD091E"/>
    <w:rsid w:val="17475939"/>
    <w:rsid w:val="1763B54A"/>
    <w:rsid w:val="17804CF8"/>
    <w:rsid w:val="17BE6BF1"/>
    <w:rsid w:val="17DA562D"/>
    <w:rsid w:val="180C72AC"/>
    <w:rsid w:val="18FC3E6E"/>
    <w:rsid w:val="19107ED6"/>
    <w:rsid w:val="19814C76"/>
    <w:rsid w:val="1A451D4E"/>
    <w:rsid w:val="1AB5409B"/>
    <w:rsid w:val="1AC464C2"/>
    <w:rsid w:val="1B2F4BF4"/>
    <w:rsid w:val="1B5530D1"/>
    <w:rsid w:val="1B735DC4"/>
    <w:rsid w:val="1B90264B"/>
    <w:rsid w:val="1BB53AEA"/>
    <w:rsid w:val="1C3A4061"/>
    <w:rsid w:val="1C680C26"/>
    <w:rsid w:val="1D0916F7"/>
    <w:rsid w:val="1D2A5EB1"/>
    <w:rsid w:val="1D37705E"/>
    <w:rsid w:val="1D885592"/>
    <w:rsid w:val="1D9824FA"/>
    <w:rsid w:val="1DAC3DB6"/>
    <w:rsid w:val="1E760CF8"/>
    <w:rsid w:val="1F0D6777"/>
    <w:rsid w:val="1F9C539C"/>
    <w:rsid w:val="20022AC9"/>
    <w:rsid w:val="211C4102"/>
    <w:rsid w:val="214661A4"/>
    <w:rsid w:val="2275323C"/>
    <w:rsid w:val="22C54ADF"/>
    <w:rsid w:val="23A40BC4"/>
    <w:rsid w:val="23A562ED"/>
    <w:rsid w:val="23C01BF4"/>
    <w:rsid w:val="241104F2"/>
    <w:rsid w:val="247325A3"/>
    <w:rsid w:val="2479345D"/>
    <w:rsid w:val="25752160"/>
    <w:rsid w:val="25A55F80"/>
    <w:rsid w:val="2627578A"/>
    <w:rsid w:val="266C5D4F"/>
    <w:rsid w:val="26AB37D5"/>
    <w:rsid w:val="26CE4572"/>
    <w:rsid w:val="270A69E3"/>
    <w:rsid w:val="27344878"/>
    <w:rsid w:val="27A220E9"/>
    <w:rsid w:val="27AC170B"/>
    <w:rsid w:val="27CD58FA"/>
    <w:rsid w:val="27E867C0"/>
    <w:rsid w:val="282A3BBA"/>
    <w:rsid w:val="286A1153"/>
    <w:rsid w:val="288A48BE"/>
    <w:rsid w:val="28B335D9"/>
    <w:rsid w:val="28B61AF9"/>
    <w:rsid w:val="28E94D75"/>
    <w:rsid w:val="29760D83"/>
    <w:rsid w:val="297812BE"/>
    <w:rsid w:val="299A6E9D"/>
    <w:rsid w:val="29E37561"/>
    <w:rsid w:val="2A0C288A"/>
    <w:rsid w:val="2A5C35EF"/>
    <w:rsid w:val="2AF726AE"/>
    <w:rsid w:val="2B1F337E"/>
    <w:rsid w:val="2B5779B0"/>
    <w:rsid w:val="2B763F3F"/>
    <w:rsid w:val="2BB1742D"/>
    <w:rsid w:val="2BBF0D19"/>
    <w:rsid w:val="2C997DE3"/>
    <w:rsid w:val="2CC17FA4"/>
    <w:rsid w:val="2E184E1D"/>
    <w:rsid w:val="2E2E25C5"/>
    <w:rsid w:val="2E594352"/>
    <w:rsid w:val="2E80217C"/>
    <w:rsid w:val="2E902FDC"/>
    <w:rsid w:val="2EA75176"/>
    <w:rsid w:val="2F2A57E6"/>
    <w:rsid w:val="2F5D6F3E"/>
    <w:rsid w:val="2F694AE2"/>
    <w:rsid w:val="2FAC7EFA"/>
    <w:rsid w:val="2FBD4D20"/>
    <w:rsid w:val="2FEF35AD"/>
    <w:rsid w:val="303C48F0"/>
    <w:rsid w:val="30966F49"/>
    <w:rsid w:val="30C213F5"/>
    <w:rsid w:val="30C76953"/>
    <w:rsid w:val="321150C9"/>
    <w:rsid w:val="322555EA"/>
    <w:rsid w:val="32576394"/>
    <w:rsid w:val="32882305"/>
    <w:rsid w:val="32D37E6F"/>
    <w:rsid w:val="32F62A34"/>
    <w:rsid w:val="32FA3799"/>
    <w:rsid w:val="32FF40BA"/>
    <w:rsid w:val="33AE1341"/>
    <w:rsid w:val="33B743C7"/>
    <w:rsid w:val="359E7CA2"/>
    <w:rsid w:val="35C871BF"/>
    <w:rsid w:val="35D0373F"/>
    <w:rsid w:val="36183EFD"/>
    <w:rsid w:val="368070F0"/>
    <w:rsid w:val="368D665E"/>
    <w:rsid w:val="37312F01"/>
    <w:rsid w:val="37790000"/>
    <w:rsid w:val="37BD490A"/>
    <w:rsid w:val="37C30C14"/>
    <w:rsid w:val="37F07ED5"/>
    <w:rsid w:val="39556D95"/>
    <w:rsid w:val="39804910"/>
    <w:rsid w:val="3A272054"/>
    <w:rsid w:val="3BB47CA9"/>
    <w:rsid w:val="3BC531DD"/>
    <w:rsid w:val="3C0D2466"/>
    <w:rsid w:val="3D835A84"/>
    <w:rsid w:val="3DA512EA"/>
    <w:rsid w:val="3DB50C6E"/>
    <w:rsid w:val="3DE715AA"/>
    <w:rsid w:val="3E7F36F2"/>
    <w:rsid w:val="3EFC1E00"/>
    <w:rsid w:val="3F692478"/>
    <w:rsid w:val="3FF1414E"/>
    <w:rsid w:val="4085090D"/>
    <w:rsid w:val="40A20BE4"/>
    <w:rsid w:val="40BC5441"/>
    <w:rsid w:val="41692456"/>
    <w:rsid w:val="420E1270"/>
    <w:rsid w:val="42206C5E"/>
    <w:rsid w:val="425229F9"/>
    <w:rsid w:val="43643340"/>
    <w:rsid w:val="4465120E"/>
    <w:rsid w:val="4473545D"/>
    <w:rsid w:val="44975447"/>
    <w:rsid w:val="44C0425C"/>
    <w:rsid w:val="450D0C89"/>
    <w:rsid w:val="45185960"/>
    <w:rsid w:val="45804960"/>
    <w:rsid w:val="45AA0EED"/>
    <w:rsid w:val="45C60935"/>
    <w:rsid w:val="468877BA"/>
    <w:rsid w:val="47505E28"/>
    <w:rsid w:val="476E24BD"/>
    <w:rsid w:val="47F123EA"/>
    <w:rsid w:val="48147269"/>
    <w:rsid w:val="4884779B"/>
    <w:rsid w:val="48C7608A"/>
    <w:rsid w:val="48E8455C"/>
    <w:rsid w:val="49427419"/>
    <w:rsid w:val="496B3098"/>
    <w:rsid w:val="49C00A07"/>
    <w:rsid w:val="49C460CC"/>
    <w:rsid w:val="49D03871"/>
    <w:rsid w:val="4A6718D3"/>
    <w:rsid w:val="4B061B93"/>
    <w:rsid w:val="4B432890"/>
    <w:rsid w:val="4B723616"/>
    <w:rsid w:val="4B8D7024"/>
    <w:rsid w:val="4BFE0163"/>
    <w:rsid w:val="4D331F40"/>
    <w:rsid w:val="4D54068A"/>
    <w:rsid w:val="4E655073"/>
    <w:rsid w:val="4EE3431C"/>
    <w:rsid w:val="4EF33614"/>
    <w:rsid w:val="4F0300F9"/>
    <w:rsid w:val="4F786330"/>
    <w:rsid w:val="50175540"/>
    <w:rsid w:val="503D0440"/>
    <w:rsid w:val="50962FCF"/>
    <w:rsid w:val="52DD06AA"/>
    <w:rsid w:val="52DF1510"/>
    <w:rsid w:val="52F173E6"/>
    <w:rsid w:val="532C3667"/>
    <w:rsid w:val="538C4BB5"/>
    <w:rsid w:val="53AE2E3D"/>
    <w:rsid w:val="53F65BA6"/>
    <w:rsid w:val="54A1116F"/>
    <w:rsid w:val="557138EC"/>
    <w:rsid w:val="560E61BD"/>
    <w:rsid w:val="562453F7"/>
    <w:rsid w:val="56531110"/>
    <w:rsid w:val="57104977"/>
    <w:rsid w:val="57985B0A"/>
    <w:rsid w:val="579F0B1B"/>
    <w:rsid w:val="588642CA"/>
    <w:rsid w:val="595C526D"/>
    <w:rsid w:val="599D1C46"/>
    <w:rsid w:val="599D3640"/>
    <w:rsid w:val="59D90E65"/>
    <w:rsid w:val="5B3D1A6A"/>
    <w:rsid w:val="5B682F1A"/>
    <w:rsid w:val="5BA14B15"/>
    <w:rsid w:val="5BB3323A"/>
    <w:rsid w:val="5BCA3ECB"/>
    <w:rsid w:val="5C0021B9"/>
    <w:rsid w:val="5C0B7B8B"/>
    <w:rsid w:val="5C433254"/>
    <w:rsid w:val="5C7C4B35"/>
    <w:rsid w:val="5CF52154"/>
    <w:rsid w:val="5D302C9F"/>
    <w:rsid w:val="5DBB7CB1"/>
    <w:rsid w:val="5DDC375B"/>
    <w:rsid w:val="5DE52DE2"/>
    <w:rsid w:val="5DF1795F"/>
    <w:rsid w:val="5E1C27AC"/>
    <w:rsid w:val="5E375795"/>
    <w:rsid w:val="5E60714D"/>
    <w:rsid w:val="5EB6365E"/>
    <w:rsid w:val="5EF2273D"/>
    <w:rsid w:val="5F0971CB"/>
    <w:rsid w:val="5F7F2ADC"/>
    <w:rsid w:val="60377B74"/>
    <w:rsid w:val="60AA22BB"/>
    <w:rsid w:val="61600C2B"/>
    <w:rsid w:val="616B1921"/>
    <w:rsid w:val="629E7B5B"/>
    <w:rsid w:val="63BD6A68"/>
    <w:rsid w:val="63C91D0E"/>
    <w:rsid w:val="641264CF"/>
    <w:rsid w:val="645C459F"/>
    <w:rsid w:val="64C82B43"/>
    <w:rsid w:val="65D54A54"/>
    <w:rsid w:val="65F4628D"/>
    <w:rsid w:val="65FE6727"/>
    <w:rsid w:val="662B15AE"/>
    <w:rsid w:val="674950F2"/>
    <w:rsid w:val="67541A30"/>
    <w:rsid w:val="684E6F2D"/>
    <w:rsid w:val="6884089B"/>
    <w:rsid w:val="68C8451C"/>
    <w:rsid w:val="690867E7"/>
    <w:rsid w:val="693949EA"/>
    <w:rsid w:val="698612D8"/>
    <w:rsid w:val="69A6198A"/>
    <w:rsid w:val="6A7D7C57"/>
    <w:rsid w:val="6AA8253E"/>
    <w:rsid w:val="6ADB20F2"/>
    <w:rsid w:val="6B7A4F76"/>
    <w:rsid w:val="6B8F649C"/>
    <w:rsid w:val="6BB87C46"/>
    <w:rsid w:val="6C1148DF"/>
    <w:rsid w:val="6C615101"/>
    <w:rsid w:val="6CF7597D"/>
    <w:rsid w:val="6D271DCA"/>
    <w:rsid w:val="6D3166AE"/>
    <w:rsid w:val="6DF332FA"/>
    <w:rsid w:val="6E4C37EE"/>
    <w:rsid w:val="6FCB7819"/>
    <w:rsid w:val="70001486"/>
    <w:rsid w:val="704D6D1D"/>
    <w:rsid w:val="70837BD9"/>
    <w:rsid w:val="70943D3A"/>
    <w:rsid w:val="70D94A29"/>
    <w:rsid w:val="710A51E1"/>
    <w:rsid w:val="711B094E"/>
    <w:rsid w:val="713A5CC3"/>
    <w:rsid w:val="71AC3EEB"/>
    <w:rsid w:val="71CB52F9"/>
    <w:rsid w:val="72701737"/>
    <w:rsid w:val="72875943"/>
    <w:rsid w:val="72D0142B"/>
    <w:rsid w:val="72D373CD"/>
    <w:rsid w:val="72D41313"/>
    <w:rsid w:val="72F0441E"/>
    <w:rsid w:val="73742537"/>
    <w:rsid w:val="74EA775B"/>
    <w:rsid w:val="75E02BD6"/>
    <w:rsid w:val="76444D7D"/>
    <w:rsid w:val="76481D91"/>
    <w:rsid w:val="76AA494D"/>
    <w:rsid w:val="76D56F9E"/>
    <w:rsid w:val="76FA4E9E"/>
    <w:rsid w:val="7765593F"/>
    <w:rsid w:val="77682332"/>
    <w:rsid w:val="77AE79B9"/>
    <w:rsid w:val="77EE2E61"/>
    <w:rsid w:val="79295CB2"/>
    <w:rsid w:val="79EE2BC7"/>
    <w:rsid w:val="7A784A70"/>
    <w:rsid w:val="7AAD3744"/>
    <w:rsid w:val="7B35141F"/>
    <w:rsid w:val="7B38613B"/>
    <w:rsid w:val="7B5442F9"/>
    <w:rsid w:val="7B773D36"/>
    <w:rsid w:val="7BEA2AE3"/>
    <w:rsid w:val="7BF40C8B"/>
    <w:rsid w:val="7CFC4A8D"/>
    <w:rsid w:val="7D160BDA"/>
    <w:rsid w:val="7D823018"/>
    <w:rsid w:val="7E0A3D11"/>
    <w:rsid w:val="7E0C42DC"/>
    <w:rsid w:val="7E437638"/>
    <w:rsid w:val="7E45714A"/>
    <w:rsid w:val="7E605356"/>
    <w:rsid w:val="7E805523"/>
    <w:rsid w:val="7F3274DB"/>
    <w:rsid w:val="7F3419CB"/>
    <w:rsid w:val="7F556235"/>
    <w:rsid w:val="7FAA1A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semiHidden="0" w:name="heading 6"/>
    <w:lsdException w:qFormat="1" w:uiPriority="0" w:semiHidden="0" w:name="heading 7"/>
    <w:lsdException w:qFormat="1" w:uiPriority="0" w:semiHidden="0" w:name="heading 8"/>
    <w:lsdException w:qFormat="1"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0" w:semiHidden="0"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qFormat="1" w:unhideWhenUsed="0" w:uiPriority="0" w:semiHidden="0" w:name="Signature"/>
    <w:lsdException w:qFormat="1" w:unhideWhenUsed="0" w:uiPriority="0" w:name="Default Paragraph Font"/>
    <w:lsdException w:qFormat="1" w:unhideWhenUsed="0" w:uiPriority="0"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qFormat="1" w:unhideWhenUsed="0" w:uiPriority="0" w:semiHidden="0"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napToGrid w:val="0"/>
      <w:spacing w:after="20" w:afterLines="20" w:line="288" w:lineRule="auto"/>
      <w:jc w:val="both"/>
    </w:pPr>
    <w:rPr>
      <w:rFonts w:asciiTheme="minorAscii" w:hAnsiTheme="minorAscii" w:eastAsiaTheme="minorEastAsia" w:cstheme="minorBidi"/>
      <w:kern w:val="2"/>
      <w:sz w:val="24"/>
      <w:szCs w:val="24"/>
      <w:lang w:val="en-US" w:eastAsia="zh-CN" w:bidi="ar-SA"/>
    </w:rPr>
  </w:style>
  <w:style w:type="paragraph" w:styleId="2">
    <w:name w:val="heading 1"/>
    <w:basedOn w:val="1"/>
    <w:next w:val="1"/>
    <w:qFormat/>
    <w:uiPriority w:val="0"/>
    <w:pPr>
      <w:keepNext/>
      <w:keepLines/>
      <w:adjustRightInd w:val="0"/>
      <w:snapToGrid w:val="0"/>
      <w:spacing w:beforeLines="0" w:beforeAutospacing="0" w:after="80" w:afterLines="80" w:afterAutospacing="0" w:line="288" w:lineRule="auto"/>
      <w:outlineLvl w:val="0"/>
    </w:pPr>
    <w:rPr>
      <w:b/>
      <w:bCs/>
      <w:kern w:val="44"/>
      <w:sz w:val="36"/>
      <w:szCs w:val="36"/>
    </w:rPr>
  </w:style>
  <w:style w:type="paragraph" w:styleId="3">
    <w:name w:val="heading 2"/>
    <w:basedOn w:val="1"/>
    <w:next w:val="1"/>
    <w:unhideWhenUsed/>
    <w:qFormat/>
    <w:uiPriority w:val="0"/>
    <w:pPr>
      <w:keepNext/>
      <w:keepLines/>
      <w:spacing w:before="120" w:beforeLines="120" w:beforeAutospacing="0" w:after="80" w:afterLines="80" w:afterAutospacing="0" w:line="288" w:lineRule="auto"/>
      <w:outlineLvl w:val="1"/>
    </w:pPr>
    <w:rPr>
      <w:b/>
      <w:bCs/>
      <w:sz w:val="32"/>
      <w:szCs w:val="32"/>
    </w:rPr>
  </w:style>
  <w:style w:type="paragraph" w:styleId="4">
    <w:name w:val="heading 3"/>
    <w:basedOn w:val="1"/>
    <w:next w:val="1"/>
    <w:unhideWhenUsed/>
    <w:qFormat/>
    <w:uiPriority w:val="0"/>
    <w:pPr>
      <w:keepNext/>
      <w:keepLines/>
      <w:spacing w:before="120" w:beforeLines="120" w:beforeAutospacing="0" w:after="80" w:afterLines="80" w:afterAutospacing="0" w:line="288" w:lineRule="auto"/>
      <w:outlineLvl w:val="2"/>
    </w:pPr>
    <w:rPr>
      <w:b/>
      <w:bCs/>
      <w:sz w:val="30"/>
      <w:szCs w:val="30"/>
    </w:rPr>
  </w:style>
  <w:style w:type="paragraph" w:styleId="5">
    <w:name w:val="heading 4"/>
    <w:basedOn w:val="1"/>
    <w:next w:val="1"/>
    <w:unhideWhenUsed/>
    <w:qFormat/>
    <w:uiPriority w:val="0"/>
    <w:pPr>
      <w:keepNext/>
      <w:keepLines/>
      <w:spacing w:before="120" w:beforeLines="120" w:beforeAutospacing="0" w:after="80" w:afterLines="80" w:afterAutospacing="0" w:line="288" w:lineRule="auto"/>
      <w:outlineLvl w:val="3"/>
    </w:pPr>
    <w:rPr>
      <w:b/>
      <w:bCs/>
      <w:sz w:val="28"/>
      <w:szCs w:val="28"/>
    </w:rPr>
  </w:style>
  <w:style w:type="paragraph" w:styleId="6">
    <w:name w:val="heading 5"/>
    <w:basedOn w:val="1"/>
    <w:next w:val="7"/>
    <w:unhideWhenUsed/>
    <w:qFormat/>
    <w:uiPriority w:val="0"/>
    <w:pPr>
      <w:keepNext/>
      <w:keepLines/>
      <w:spacing w:before="120" w:beforeLines="120" w:beforeAutospacing="0" w:after="80" w:afterLines="80" w:afterAutospacing="0" w:line="288" w:lineRule="auto"/>
      <w:outlineLvl w:val="4"/>
    </w:pPr>
    <w:rPr>
      <w:b/>
      <w:bCs/>
    </w:rPr>
  </w:style>
  <w:style w:type="paragraph" w:styleId="8">
    <w:name w:val="heading 6"/>
    <w:basedOn w:val="1"/>
    <w:next w:val="7"/>
    <w:unhideWhenUsed/>
    <w:qFormat/>
    <w:uiPriority w:val="0"/>
    <w:pPr>
      <w:keepNext/>
      <w:keepLines/>
      <w:spacing w:before="120" w:beforeLines="120" w:beforeAutospacing="0" w:after="80" w:afterLines="80" w:afterAutospacing="0" w:line="288" w:lineRule="auto"/>
      <w:outlineLvl w:val="5"/>
    </w:pPr>
    <w:rPr>
      <w:rFonts w:asciiTheme="minorAscii" w:hAnsiTheme="minorAscii" w:eastAsiaTheme="minorEastAsia"/>
      <w:b/>
      <w:bCs/>
    </w:rPr>
  </w:style>
  <w:style w:type="paragraph" w:styleId="9">
    <w:name w:val="heading 7"/>
    <w:basedOn w:val="1"/>
    <w:next w:val="7"/>
    <w:unhideWhenUsed/>
    <w:qFormat/>
    <w:uiPriority w:val="0"/>
    <w:pPr>
      <w:keepNext/>
      <w:keepLines/>
      <w:spacing w:before="120" w:beforeLines="120" w:beforeAutospacing="0" w:after="80" w:afterLines="80" w:afterAutospacing="0" w:line="288" w:lineRule="auto"/>
      <w:outlineLvl w:val="6"/>
    </w:pPr>
    <w:rPr>
      <w:rFonts w:asciiTheme="minorAscii" w:hAnsiTheme="minorAscii" w:eastAsiaTheme="minorEastAsia"/>
      <w:b/>
      <w:bCs/>
    </w:rPr>
  </w:style>
  <w:style w:type="paragraph" w:styleId="10">
    <w:name w:val="heading 8"/>
    <w:basedOn w:val="1"/>
    <w:next w:val="7"/>
    <w:unhideWhenUsed/>
    <w:qFormat/>
    <w:uiPriority w:val="0"/>
    <w:pPr>
      <w:keepNext/>
      <w:keepLines/>
      <w:spacing w:before="120" w:beforeLines="120" w:beforeAutospacing="0" w:after="80" w:afterLines="80" w:afterAutospacing="0" w:line="288" w:lineRule="auto"/>
      <w:outlineLvl w:val="7"/>
    </w:pPr>
    <w:rPr>
      <w:rFonts w:asciiTheme="minorAscii" w:hAnsiTheme="minorAscii" w:eastAsiaTheme="minorEastAsia"/>
      <w:b/>
      <w:bCs/>
    </w:rPr>
  </w:style>
  <w:style w:type="paragraph" w:styleId="11">
    <w:name w:val="heading 9"/>
    <w:basedOn w:val="1"/>
    <w:next w:val="7"/>
    <w:unhideWhenUsed/>
    <w:qFormat/>
    <w:uiPriority w:val="0"/>
    <w:pPr>
      <w:keepNext/>
      <w:keepLines/>
      <w:spacing w:before="120" w:beforeLines="120" w:beforeAutospacing="0" w:after="80" w:afterLines="80" w:afterAutospacing="0" w:line="288" w:lineRule="auto"/>
      <w:outlineLvl w:val="8"/>
    </w:pPr>
    <w:rPr>
      <w:rFonts w:asciiTheme="minorAscii" w:hAnsiTheme="minorAscii" w:eastAsiaTheme="minorEastAsia"/>
      <w:b/>
      <w:bCs/>
      <w:sz w:val="24"/>
    </w:rPr>
  </w:style>
  <w:style w:type="character" w:default="1" w:styleId="33">
    <w:name w:val="Default Paragraph Font"/>
    <w:semiHidden/>
    <w:qFormat/>
    <w:uiPriority w:val="0"/>
  </w:style>
  <w:style w:type="table" w:default="1" w:styleId="32">
    <w:name w:val="Normal Table"/>
    <w:autoRedefine/>
    <w:semiHidden/>
    <w:unhideWhenUsed/>
    <w:qFormat/>
    <w:uiPriority w:val="99"/>
    <w:tblPr>
      <w:tblCellMar>
        <w:top w:w="0" w:type="dxa"/>
        <w:left w:w="108" w:type="dxa"/>
        <w:bottom w:w="0" w:type="dxa"/>
        <w:right w:w="108" w:type="dxa"/>
      </w:tblCellMar>
    </w:tblPr>
  </w:style>
  <w:style w:type="paragraph" w:styleId="7">
    <w:name w:val="Body Text"/>
    <w:basedOn w:val="1"/>
    <w:qFormat/>
    <w:uiPriority w:val="0"/>
    <w:pPr>
      <w:spacing w:after="120" w:afterLines="0" w:afterAutospacing="0"/>
    </w:pPr>
  </w:style>
  <w:style w:type="paragraph" w:styleId="12">
    <w:name w:val="Normal Indent"/>
    <w:basedOn w:val="1"/>
    <w:autoRedefine/>
    <w:qFormat/>
    <w:uiPriority w:val="99"/>
    <w:pPr>
      <w:ind w:firstLine="420"/>
    </w:pPr>
    <w:rPr>
      <w:szCs w:val="21"/>
    </w:rPr>
  </w:style>
  <w:style w:type="paragraph" w:styleId="13">
    <w:name w:val="caption"/>
    <w:basedOn w:val="1"/>
    <w:next w:val="1"/>
    <w:unhideWhenUsed/>
    <w:qFormat/>
    <w:uiPriority w:val="0"/>
    <w:pPr>
      <w:ind w:firstLine="0" w:firstLineChars="0"/>
    </w:pPr>
    <w:rPr>
      <w:rFonts w:cs="Times New Roman" w:asciiTheme="minorAscii" w:hAnsiTheme="minorAscii" w:eastAsiaTheme="minorEastAsia"/>
      <w:sz w:val="24"/>
    </w:rPr>
  </w:style>
  <w:style w:type="paragraph" w:styleId="14">
    <w:name w:val="annotation text"/>
    <w:basedOn w:val="1"/>
    <w:link w:val="50"/>
    <w:qFormat/>
    <w:uiPriority w:val="0"/>
    <w:pPr>
      <w:jc w:val="left"/>
    </w:pPr>
    <w:rPr>
      <w:color w:val="262626" w:themeColor="text1" w:themeTint="D9"/>
      <w14:textFill>
        <w14:solidFill>
          <w14:schemeClr w14:val="tx1">
            <w14:lumMod w14:val="85000"/>
            <w14:lumOff w14:val="15000"/>
          </w14:schemeClr>
        </w14:solidFill>
      </w14:textFill>
    </w:rPr>
  </w:style>
  <w:style w:type="paragraph" w:styleId="15">
    <w:name w:val="Salutation"/>
    <w:basedOn w:val="1"/>
    <w:next w:val="1"/>
    <w:qFormat/>
    <w:uiPriority w:val="0"/>
  </w:style>
  <w:style w:type="paragraph" w:styleId="16">
    <w:name w:val="Body Text Indent"/>
    <w:basedOn w:val="1"/>
    <w:next w:val="12"/>
    <w:autoRedefine/>
    <w:semiHidden/>
    <w:unhideWhenUsed/>
    <w:qFormat/>
    <w:uiPriority w:val="99"/>
    <w:pPr>
      <w:spacing w:after="120"/>
      <w:ind w:left="420" w:leftChars="200"/>
    </w:pPr>
  </w:style>
  <w:style w:type="paragraph" w:styleId="17">
    <w:name w:val="toc 3"/>
    <w:basedOn w:val="1"/>
    <w:next w:val="1"/>
    <w:qFormat/>
    <w:uiPriority w:val="0"/>
    <w:pPr>
      <w:ind w:left="840" w:leftChars="400"/>
    </w:pPr>
  </w:style>
  <w:style w:type="paragraph" w:styleId="18">
    <w:name w:val="Date"/>
    <w:basedOn w:val="1"/>
    <w:next w:val="1"/>
    <w:qFormat/>
    <w:uiPriority w:val="0"/>
    <w:pPr>
      <w:ind w:firstLine="0" w:firstLineChars="0"/>
      <w:jc w:val="right"/>
    </w:pPr>
    <w:rPr>
      <w:color w:val="262626" w:themeColor="text1" w:themeTint="D9"/>
      <w14:textFill>
        <w14:solidFill>
          <w14:schemeClr w14:val="tx1">
            <w14:lumMod w14:val="85000"/>
            <w14:lumOff w14:val="15000"/>
          </w14:schemeClr>
        </w14:solidFill>
      </w14:textFill>
    </w:rPr>
  </w:style>
  <w:style w:type="paragraph" w:styleId="19">
    <w:name w:val="endnote text"/>
    <w:basedOn w:val="1"/>
    <w:qFormat/>
    <w:uiPriority w:val="0"/>
    <w:pPr>
      <w:jc w:val="left"/>
    </w:pPr>
    <w:rPr>
      <w:color w:val="262626" w:themeColor="text1" w:themeTint="D9"/>
      <w14:textFill>
        <w14:solidFill>
          <w14:schemeClr w14:val="tx1">
            <w14:lumMod w14:val="85000"/>
            <w14:lumOff w14:val="15000"/>
          </w14:schemeClr>
        </w14:solidFill>
      </w14:textFill>
    </w:rPr>
  </w:style>
  <w:style w:type="paragraph" w:styleId="20">
    <w:name w:val="Balloon Text"/>
    <w:basedOn w:val="1"/>
    <w:qFormat/>
    <w:uiPriority w:val="0"/>
    <w:rPr>
      <w:sz w:val="18"/>
      <w:szCs w:val="18"/>
    </w:rPr>
  </w:style>
  <w:style w:type="paragraph" w:styleId="21">
    <w:name w:val="footer"/>
    <w:basedOn w:val="1"/>
    <w:link w:val="48"/>
    <w:qFormat/>
    <w:uiPriority w:val="0"/>
    <w:pPr>
      <w:tabs>
        <w:tab w:val="center" w:pos="4153"/>
        <w:tab w:val="right" w:pos="8306"/>
      </w:tabs>
      <w:ind w:firstLine="0" w:firstLineChars="0"/>
      <w:jc w:val="left"/>
    </w:pPr>
    <w:rPr>
      <w:sz w:val="18"/>
      <w:szCs w:val="18"/>
    </w:rPr>
  </w:style>
  <w:style w:type="paragraph" w:styleId="22">
    <w:name w:val="header"/>
    <w:basedOn w:val="1"/>
    <w:link w:val="47"/>
    <w:qFormat/>
    <w:uiPriority w:val="0"/>
    <w:pPr>
      <w:pBdr>
        <w:top w:val="none" w:color="auto" w:sz="0" w:space="1"/>
        <w:left w:val="none" w:color="auto" w:sz="0" w:space="4"/>
        <w:bottom w:val="none" w:color="auto" w:sz="0" w:space="1"/>
        <w:right w:val="none" w:color="auto" w:sz="0" w:space="4"/>
      </w:pBdr>
      <w:tabs>
        <w:tab w:val="center" w:pos="4153"/>
        <w:tab w:val="right" w:pos="8306"/>
      </w:tabs>
      <w:spacing w:line="240" w:lineRule="auto"/>
    </w:pPr>
    <w:rPr>
      <w:sz w:val="18"/>
      <w:szCs w:val="18"/>
    </w:rPr>
  </w:style>
  <w:style w:type="paragraph" w:styleId="23">
    <w:name w:val="Signature"/>
    <w:basedOn w:val="1"/>
    <w:qFormat/>
    <w:uiPriority w:val="0"/>
    <w:pPr>
      <w:ind w:firstLine="0" w:firstLineChars="0"/>
      <w:jc w:val="right"/>
    </w:pPr>
    <w:rPr>
      <w:color w:val="262626" w:themeColor="text1" w:themeTint="D9"/>
      <w14:textFill>
        <w14:solidFill>
          <w14:schemeClr w14:val="tx1">
            <w14:lumMod w14:val="85000"/>
            <w14:lumOff w14:val="15000"/>
          </w14:schemeClr>
        </w14:solidFill>
      </w14:textFill>
    </w:rPr>
  </w:style>
  <w:style w:type="paragraph" w:styleId="24">
    <w:name w:val="toc 1"/>
    <w:basedOn w:val="1"/>
    <w:next w:val="1"/>
    <w:qFormat/>
    <w:uiPriority w:val="0"/>
  </w:style>
  <w:style w:type="paragraph" w:styleId="25">
    <w:name w:val="Subtitle"/>
    <w:basedOn w:val="1"/>
    <w:next w:val="7"/>
    <w:qFormat/>
    <w:uiPriority w:val="0"/>
    <w:pPr>
      <w:spacing w:before="240" w:beforeLines="0" w:beforeAutospacing="0" w:after="60" w:afterLines="0" w:afterAutospacing="0" w:line="312" w:lineRule="auto"/>
      <w:jc w:val="center"/>
      <w:outlineLvl w:val="1"/>
    </w:pPr>
    <w:rPr>
      <w:rFonts w:asciiTheme="majorAscii" w:hAnsiTheme="majorAscii" w:eastAsiaTheme="majorEastAsia"/>
      <w:b/>
      <w:kern w:val="28"/>
      <w:sz w:val="32"/>
      <w:szCs w:val="32"/>
    </w:rPr>
  </w:style>
  <w:style w:type="paragraph" w:styleId="26">
    <w:name w:val="footnote text"/>
    <w:basedOn w:val="1"/>
    <w:qFormat/>
    <w:uiPriority w:val="0"/>
    <w:pPr>
      <w:jc w:val="left"/>
    </w:pPr>
    <w:rPr>
      <w:rFonts w:asciiTheme="minorAscii" w:hAnsiTheme="minorAscii" w:eastAsiaTheme="minorEastAsia"/>
      <w:sz w:val="24"/>
      <w:szCs w:val="24"/>
    </w:rPr>
  </w:style>
  <w:style w:type="paragraph" w:styleId="27">
    <w:name w:val="toc 2"/>
    <w:basedOn w:val="1"/>
    <w:next w:val="1"/>
    <w:qFormat/>
    <w:uiPriority w:val="0"/>
    <w:pPr>
      <w:ind w:left="420" w:leftChars="200"/>
    </w:pPr>
  </w:style>
  <w:style w:type="paragraph" w:styleId="28">
    <w:name w:val="HTML Preformatted"/>
    <w:basedOn w:val="1"/>
    <w:qFormat/>
    <w:uiPriority w:val="0"/>
    <w:rPr>
      <w:rFonts w:ascii="Courier New" w:hAnsi="Courier New"/>
      <w:sz w:val="20"/>
    </w:rPr>
  </w:style>
  <w:style w:type="paragraph" w:styleId="29">
    <w:name w:val="Normal (Web)"/>
    <w:basedOn w:val="1"/>
    <w:qFormat/>
    <w:uiPriority w:val="0"/>
    <w:rPr>
      <w:sz w:val="24"/>
    </w:rPr>
  </w:style>
  <w:style w:type="paragraph" w:styleId="30">
    <w:name w:val="Title"/>
    <w:basedOn w:val="1"/>
    <w:qFormat/>
    <w:uiPriority w:val="0"/>
    <w:pPr>
      <w:adjustRightInd w:val="0"/>
      <w:snapToGrid w:val="0"/>
      <w:spacing w:beforeLines="0" w:beforeAutospacing="0" w:after="100" w:afterLines="100" w:afterAutospacing="0"/>
      <w:jc w:val="center"/>
      <w:outlineLvl w:val="0"/>
    </w:pPr>
    <w:rPr>
      <w:rFonts w:asciiTheme="majorAscii" w:hAnsiTheme="majorAscii" w:eastAsiaTheme="majorEastAsia"/>
      <w:b/>
      <w:bCs/>
      <w:sz w:val="44"/>
      <w:szCs w:val="44"/>
    </w:rPr>
  </w:style>
  <w:style w:type="paragraph" w:styleId="31">
    <w:name w:val="annotation subject"/>
    <w:basedOn w:val="14"/>
    <w:next w:val="14"/>
    <w:link w:val="51"/>
    <w:qFormat/>
    <w:uiPriority w:val="0"/>
    <w:rPr>
      <w:b/>
      <w:color w:val="262626" w:themeColor="text1" w:themeTint="D9"/>
      <w14:textFill>
        <w14:solidFill>
          <w14:schemeClr w14:val="tx1">
            <w14:lumMod w14:val="85000"/>
            <w14:lumOff w14:val="15000"/>
          </w14:schemeClr>
        </w14:solidFill>
      </w14:textFill>
    </w:rPr>
  </w:style>
  <w:style w:type="character" w:styleId="34">
    <w:name w:val="Strong"/>
    <w:basedOn w:val="33"/>
    <w:qFormat/>
    <w:uiPriority w:val="0"/>
    <w:rPr>
      <w:rFonts w:asciiTheme="minorAscii" w:hAnsiTheme="minorAscii" w:eastAsiaTheme="minorEastAsia"/>
      <w:b/>
    </w:rPr>
  </w:style>
  <w:style w:type="character" w:styleId="35">
    <w:name w:val="endnote reference"/>
    <w:basedOn w:val="33"/>
    <w:qFormat/>
    <w:uiPriority w:val="0"/>
    <w:rPr>
      <w:rFonts w:asciiTheme="minorAscii" w:hAnsiTheme="minorAscii" w:eastAsiaTheme="minorEastAsia"/>
      <w:color w:val="262626" w:themeColor="text1" w:themeTint="D9"/>
      <w:vertAlign w:val="superscript"/>
      <w14:textFill>
        <w14:solidFill>
          <w14:schemeClr w14:val="tx1">
            <w14:lumMod w14:val="85000"/>
            <w14:lumOff w14:val="15000"/>
          </w14:schemeClr>
        </w14:solidFill>
      </w14:textFill>
    </w:rPr>
  </w:style>
  <w:style w:type="character" w:styleId="36">
    <w:name w:val="page number"/>
    <w:qFormat/>
    <w:uiPriority w:val="0"/>
    <w:rPr>
      <w:rFonts w:cs="Times New Roman" w:asciiTheme="minorAscii" w:hAnsiTheme="minorAscii" w:eastAsiaTheme="minorEastAsia"/>
      <w:color w:val="262626" w:themeColor="text1" w:themeTint="D9"/>
      <w:spacing w:val="-6"/>
      <w:kern w:val="2"/>
      <w:sz w:val="28"/>
      <w:szCs w:val="28"/>
      <w:lang w:val="en-US" w:eastAsia="zh-CN" w:bidi="ar-SA"/>
      <w14:textFill>
        <w14:solidFill>
          <w14:schemeClr w14:val="tx1">
            <w14:lumMod w14:val="85000"/>
            <w14:lumOff w14:val="15000"/>
          </w14:schemeClr>
        </w14:solidFill>
      </w14:textFill>
    </w:rPr>
  </w:style>
  <w:style w:type="character" w:styleId="37">
    <w:name w:val="FollowedHyperlink"/>
    <w:basedOn w:val="33"/>
    <w:qFormat/>
    <w:uiPriority w:val="0"/>
    <w:rPr>
      <w:rFonts w:cs="Times New Roman" w:asciiTheme="minorAscii" w:hAnsiTheme="minorAscii" w:eastAsiaTheme="minorEastAsia"/>
      <w:color w:val="800080"/>
      <w:spacing w:val="-6"/>
      <w:kern w:val="2"/>
      <w:sz w:val="24"/>
      <w:szCs w:val="24"/>
      <w:u w:val="single"/>
      <w:lang w:val="en-US" w:eastAsia="zh-CN" w:bidi="ar-SA"/>
    </w:rPr>
  </w:style>
  <w:style w:type="character" w:styleId="38">
    <w:name w:val="Emphasis"/>
    <w:basedOn w:val="33"/>
    <w:qFormat/>
    <w:uiPriority w:val="0"/>
    <w:rPr>
      <w:i/>
    </w:rPr>
  </w:style>
  <w:style w:type="character" w:styleId="39">
    <w:name w:val="Hyperlink"/>
    <w:basedOn w:val="33"/>
    <w:qFormat/>
    <w:uiPriority w:val="0"/>
    <w:rPr>
      <w:rFonts w:cs="Times New Roman" w:asciiTheme="minorAscii" w:hAnsiTheme="minorAscii" w:eastAsiaTheme="minorEastAsia"/>
      <w:caps/>
      <w:color w:val="0000FF"/>
      <w:spacing w:val="-6"/>
      <w:kern w:val="2"/>
      <w:sz w:val="24"/>
      <w:szCs w:val="24"/>
      <w:u w:val="single"/>
      <w:lang w:val="en-US" w:eastAsia="zh-CN" w:bidi="ar-SA"/>
    </w:rPr>
  </w:style>
  <w:style w:type="character" w:styleId="40">
    <w:name w:val="annotation reference"/>
    <w:basedOn w:val="33"/>
    <w:qFormat/>
    <w:uiPriority w:val="0"/>
    <w:rPr>
      <w:rFonts w:asciiTheme="minorAscii" w:hAnsiTheme="minorAscii" w:eastAsiaTheme="minorEastAsia"/>
      <w:color w:val="262626" w:themeColor="text1" w:themeTint="D9"/>
      <w:sz w:val="21"/>
      <w:szCs w:val="21"/>
      <w14:textFill>
        <w14:solidFill>
          <w14:schemeClr w14:val="tx1">
            <w14:lumMod w14:val="85000"/>
            <w14:lumOff w14:val="15000"/>
          </w14:schemeClr>
        </w14:solidFill>
      </w14:textFill>
    </w:rPr>
  </w:style>
  <w:style w:type="character" w:styleId="41">
    <w:name w:val="footnote reference"/>
    <w:basedOn w:val="33"/>
    <w:qFormat/>
    <w:uiPriority w:val="0"/>
    <w:rPr>
      <w:rFonts w:asciiTheme="minorAscii" w:hAnsiTheme="minorAscii" w:eastAsiaTheme="minorEastAsia"/>
      <w:color w:val="262626" w:themeColor="text1" w:themeTint="D9"/>
      <w:vertAlign w:val="superscript"/>
      <w14:textFill>
        <w14:solidFill>
          <w14:schemeClr w14:val="tx1">
            <w14:lumMod w14:val="85000"/>
            <w14:lumOff w14:val="15000"/>
          </w14:schemeClr>
        </w14:solidFill>
      </w14:textFill>
    </w:rPr>
  </w:style>
  <w:style w:type="paragraph" w:styleId="42">
    <w:name w:val="List Paragraph"/>
    <w:basedOn w:val="1"/>
    <w:autoRedefine/>
    <w:qFormat/>
    <w:uiPriority w:val="34"/>
    <w:pPr>
      <w:ind w:firstLine="420" w:firstLineChars="200"/>
    </w:pPr>
  </w:style>
  <w:style w:type="paragraph" w:customStyle="1" w:styleId="43">
    <w:name w:val="p"/>
    <w:basedOn w:val="1"/>
    <w:autoRedefine/>
    <w:qFormat/>
    <w:uiPriority w:val="0"/>
    <w:pPr>
      <w:widowControl/>
      <w:spacing w:before="100" w:beforeAutospacing="1" w:after="100" w:afterAutospacing="1"/>
      <w:jc w:val="left"/>
    </w:pPr>
    <w:rPr>
      <w:rFonts w:cs="Times New Roman"/>
      <w:kern w:val="0"/>
      <w:sz w:val="24"/>
    </w:rPr>
  </w:style>
  <w:style w:type="character" w:customStyle="1" w:styleId="44">
    <w:name w:val="16"/>
    <w:basedOn w:val="33"/>
    <w:autoRedefine/>
    <w:qFormat/>
    <w:uiPriority w:val="0"/>
  </w:style>
  <w:style w:type="character" w:customStyle="1" w:styleId="45">
    <w:name w:val="15"/>
    <w:basedOn w:val="33"/>
    <w:autoRedefine/>
    <w:qFormat/>
    <w:uiPriority w:val="0"/>
  </w:style>
  <w:style w:type="character" w:customStyle="1" w:styleId="46">
    <w:name w:val="未处理的提及1"/>
    <w:basedOn w:val="33"/>
    <w:autoRedefine/>
    <w:semiHidden/>
    <w:unhideWhenUsed/>
    <w:qFormat/>
    <w:uiPriority w:val="99"/>
    <w:rPr>
      <w:color w:val="605E5C"/>
      <w:shd w:val="clear" w:color="auto" w:fill="E1DFDD"/>
    </w:rPr>
  </w:style>
  <w:style w:type="character" w:customStyle="1" w:styleId="47">
    <w:name w:val="页眉 字符"/>
    <w:link w:val="22"/>
    <w:autoRedefine/>
    <w:qFormat/>
    <w:uiPriority w:val="99"/>
    <w:rPr>
      <w:sz w:val="18"/>
      <w:szCs w:val="18"/>
    </w:rPr>
  </w:style>
  <w:style w:type="character" w:customStyle="1" w:styleId="48">
    <w:name w:val="页脚 字符"/>
    <w:link w:val="21"/>
    <w:autoRedefine/>
    <w:qFormat/>
    <w:uiPriority w:val="99"/>
    <w:rPr>
      <w:sz w:val="18"/>
      <w:szCs w:val="18"/>
    </w:rPr>
  </w:style>
  <w:style w:type="paragraph" w:customStyle="1" w:styleId="49">
    <w:name w:val="修订1"/>
    <w:autoRedefine/>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50">
    <w:name w:val="批注文字 字符"/>
    <w:link w:val="14"/>
    <w:autoRedefine/>
    <w:semiHidden/>
    <w:qFormat/>
    <w:uiPriority w:val="99"/>
    <w:rPr>
      <w:color w:val="262626" w:themeColor="text1" w:themeTint="D9"/>
      <w14:textFill>
        <w14:solidFill>
          <w14:schemeClr w14:val="tx1">
            <w14:lumMod w14:val="85000"/>
            <w14:lumOff w14:val="15000"/>
          </w14:schemeClr>
        </w14:solidFill>
      </w14:textFill>
    </w:rPr>
  </w:style>
  <w:style w:type="character" w:customStyle="1" w:styleId="51">
    <w:name w:val="批注主题 字符"/>
    <w:link w:val="31"/>
    <w:autoRedefine/>
    <w:semiHidden/>
    <w:qFormat/>
    <w:uiPriority w:val="99"/>
    <w:rPr>
      <w:b/>
      <w:color w:val="262626" w:themeColor="text1" w:themeTint="D9"/>
      <w14:textFill>
        <w14:solidFill>
          <w14:schemeClr w14:val="tx1">
            <w14:lumMod w14:val="85000"/>
            <w14:lumOff w14:val="15000"/>
          </w14:schemeClr>
        </w14:solidFill>
      </w14:textFill>
    </w:rPr>
  </w:style>
  <w:style w:type="paragraph" w:customStyle="1" w:styleId="52">
    <w:name w:val="尽调表格"/>
    <w:basedOn w:val="1"/>
    <w:autoRedefine/>
    <w:qFormat/>
    <w:uiPriority w:val="0"/>
    <w:pPr>
      <w:widowControl/>
      <w:spacing w:before="30" w:after="30" w:line="240" w:lineRule="exact"/>
    </w:pPr>
    <w:rPr>
      <w:rFonts w:ascii="Arial" w:hAnsi="Arial" w:cs="宋体"/>
      <w:kern w:val="0"/>
      <w:szCs w:val="24"/>
    </w:rPr>
  </w:style>
  <w:style w:type="paragraph" w:customStyle="1" w:styleId="53">
    <w:name w:val="无间隔1"/>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54">
    <w:name w:val="正文（缩进）"/>
    <w:basedOn w:val="1"/>
    <w:autoRedefine/>
    <w:qFormat/>
    <w:uiPriority w:val="0"/>
    <w:pPr>
      <w:spacing w:beforeLines="50" w:afterLines="50"/>
      <w:ind w:firstLine="480" w:firstLineChars="200"/>
    </w:pPr>
    <w:rPr>
      <w:rFonts w:ascii="Times New Roman" w:hAnsi="Times New Roman"/>
      <w:kern w:val="0"/>
    </w:rPr>
  </w:style>
  <w:style w:type="paragraph" w:customStyle="1" w:styleId="55">
    <w:name w:val="列表段落1"/>
    <w:basedOn w:val="1"/>
    <w:autoRedefine/>
    <w:qFormat/>
    <w:uiPriority w:val="34"/>
    <w:pPr>
      <w:ind w:firstLine="420" w:firstLineChars="200"/>
    </w:pPr>
  </w:style>
  <w:style w:type="paragraph" w:customStyle="1" w:styleId="56">
    <w:name w:val="Revision"/>
    <w:autoRedefine/>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57">
    <w:name w:val="文档说明标题"/>
    <w:next w:val="1"/>
    <w:autoRedefine/>
    <w:qFormat/>
    <w:uiPriority w:val="0"/>
    <w:pPr>
      <w:adjustRightInd w:val="0"/>
      <w:snapToGrid w:val="0"/>
      <w:spacing w:before="50" w:beforeLines="50" w:line="312" w:lineRule="auto"/>
      <w:jc w:val="center"/>
      <w:outlineLvl w:val="9"/>
    </w:pPr>
    <w:rPr>
      <w:rFonts w:hint="default" w:cs="Times New Roman" w:asciiTheme="majorAscii" w:hAnsiTheme="majorAscii" w:eastAsiaTheme="majorEastAsia"/>
      <w:b/>
      <w:sz w:val="32"/>
      <w:szCs w:val="32"/>
      <w:lang w:eastAsia="zh-Hans"/>
    </w:rPr>
  </w:style>
  <w:style w:type="paragraph" w:customStyle="1" w:styleId="58">
    <w:name w:val="章标题"/>
    <w:next w:val="1"/>
    <w:autoRedefine/>
    <w:qFormat/>
    <w:uiPriority w:val="0"/>
    <w:pPr>
      <w:keepNext/>
      <w:keepLines/>
      <w:bidi w:val="0"/>
      <w:adjustRightInd w:val="0"/>
      <w:snapToGrid w:val="0"/>
      <w:spacing w:before="50" w:beforeLines="50" w:afterLines="0" w:line="312" w:lineRule="auto"/>
      <w:jc w:val="center"/>
      <w:outlineLvl w:val="0"/>
    </w:pPr>
    <w:rPr>
      <w:rFonts w:cs="Times New Roman" w:asciiTheme="majorAscii" w:hAnsiTheme="majorAscii" w:eastAsiaTheme="majorEastAsia"/>
      <w:b/>
      <w:bCs/>
      <w:kern w:val="44"/>
      <w:sz w:val="32"/>
      <w:szCs w:val="32"/>
      <w:lang w:eastAsia="zh-Hans"/>
    </w:rPr>
  </w:style>
  <w:style w:type="paragraph" w:customStyle="1" w:styleId="59">
    <w:name w:val="节标题"/>
    <w:next w:val="1"/>
    <w:autoRedefine/>
    <w:qFormat/>
    <w:uiPriority w:val="0"/>
    <w:pPr>
      <w:keepNext/>
      <w:keepLines/>
      <w:adjustRightInd w:val="0"/>
      <w:snapToGrid w:val="0"/>
      <w:spacing w:before="50" w:beforeLines="50" w:afterLines="0" w:line="312" w:lineRule="auto"/>
      <w:jc w:val="center"/>
      <w:outlineLvl w:val="0"/>
    </w:pPr>
    <w:rPr>
      <w:rFonts w:cs="Times New Roman" w:asciiTheme="majorAscii" w:hAnsiTheme="majorAscii" w:eastAsiaTheme="majorEastAsia"/>
      <w:b/>
      <w:kern w:val="44"/>
      <w:sz w:val="30"/>
      <w:szCs w:val="30"/>
      <w:lang w:eastAsia="zh-Hans"/>
    </w:rPr>
  </w:style>
  <w:style w:type="paragraph" w:customStyle="1" w:styleId="60">
    <w:name w:val="附录标题"/>
    <w:next w:val="7"/>
    <w:autoRedefine/>
    <w:qFormat/>
    <w:uiPriority w:val="0"/>
    <w:pPr>
      <w:keepNext/>
      <w:keepLines/>
      <w:adjustRightInd w:val="0"/>
      <w:snapToGrid w:val="0"/>
      <w:spacing w:before="50" w:beforeLines="50" w:line="312" w:lineRule="auto"/>
      <w:jc w:val="center"/>
      <w:outlineLvl w:val="0"/>
    </w:pPr>
    <w:rPr>
      <w:rFonts w:cs="Times New Roman" w:asciiTheme="majorAscii" w:hAnsiTheme="majorAscii" w:eastAsiaTheme="majorEastAsia"/>
      <w:b/>
      <w:kern w:val="44"/>
      <w:sz w:val="32"/>
      <w:szCs w:val="32"/>
      <w:lang w:eastAsia="zh-Hans"/>
    </w:rPr>
  </w:style>
  <w:style w:type="character" w:customStyle="1" w:styleId="61">
    <w:name w:val="摘要"/>
    <w:basedOn w:val="33"/>
    <w:autoRedefine/>
    <w:qFormat/>
    <w:uiPriority w:val="0"/>
    <w:rPr>
      <w:rFonts w:hint="eastAsia" w:ascii="宋体" w:hAnsi="宋体" w:eastAsia="宋体"/>
      <w:b/>
      <w:lang w:val="en-US" w:eastAsia="zh-Hans"/>
    </w:rPr>
  </w:style>
  <w:style w:type="character" w:customStyle="1" w:styleId="62">
    <w:name w:val="关键词"/>
    <w:basedOn w:val="33"/>
    <w:autoRedefine/>
    <w:qFormat/>
    <w:uiPriority w:val="0"/>
    <w:rPr>
      <w:rFonts w:hint="eastAsia" w:ascii="宋体" w:hAnsi="宋体" w:eastAsia="宋体"/>
      <w:b/>
      <w:lang w:val="en-US" w:eastAsia="zh-Hans"/>
    </w:rPr>
  </w:style>
  <w:style w:type="paragraph" w:customStyle="1" w:styleId="63">
    <w:name w:val="题注1"/>
    <w:basedOn w:val="1"/>
    <w:autoRedefine/>
    <w:qFormat/>
    <w:uiPriority w:val="0"/>
    <w:pPr>
      <w:jc w:val="center"/>
    </w:pPr>
    <w:rPr>
      <w:rFonts w:hint="default" w:asciiTheme="minorAscii" w:hAnsiTheme="minorAscii"/>
      <w:lang w:eastAsia="zh-Hans"/>
    </w:rPr>
  </w:style>
  <w:style w:type="paragraph" w:customStyle="1" w:styleId="64">
    <w:name w:val="目录标题"/>
    <w:basedOn w:val="1"/>
    <w:qFormat/>
    <w:uiPriority w:val="0"/>
    <w:pPr>
      <w:spacing w:before="0" w:beforeLines="0" w:afterLines="0" w:line="240" w:lineRule="auto"/>
      <w:ind w:firstLine="0" w:firstLineChars="0"/>
      <w:jc w:val="center"/>
    </w:pPr>
    <w:rPr>
      <w:rFonts w:asciiTheme="minorAscii" w:hAnsiTheme="minorAscii" w:eastAsiaTheme="minorEastAsia"/>
      <w:b/>
      <w:sz w:val="28"/>
      <w:szCs w:val="28"/>
    </w:rPr>
  </w:style>
  <w:style w:type="paragraph" w:customStyle="1" w:styleId="65">
    <w:name w:val="主送对象"/>
    <w:next w:val="7"/>
    <w:qFormat/>
    <w:uiPriority w:val="0"/>
    <w:pPr>
      <w:adjustRightInd w:val="0"/>
      <w:snapToGrid w:val="0"/>
      <w:spacing w:line="576" w:lineRule="exact"/>
    </w:pPr>
    <w:rPr>
      <w:rFonts w:hint="default" w:cs="Times New Roman" w:asciiTheme="minorAscii" w:hAnsiTheme="minorAscii" w:eastAsiaTheme="minorEastAsia"/>
      <w:color w:val="262626" w:themeColor="text1" w:themeTint="D9"/>
      <w:sz w:val="24"/>
      <w:szCs w:val="24"/>
      <w:lang w:val="en-US" w:eastAsia="zh-CN" w:bidi="ar-SA"/>
      <w14:textFill>
        <w14:solidFill>
          <w14:schemeClr w14:val="tx1">
            <w14:lumMod w14:val="85000"/>
            <w14:lumOff w14:val="15000"/>
          </w14:schemeClr>
        </w14:solidFill>
      </w14:textFill>
    </w:rPr>
  </w:style>
  <w:style w:type="paragraph" w:customStyle="1" w:styleId="66">
    <w:name w:val="致谢标题"/>
    <w:qFormat/>
    <w:uiPriority w:val="0"/>
    <w:pPr>
      <w:keepNext/>
      <w:keepLines/>
      <w:adjustRightInd w:val="0"/>
      <w:snapToGrid w:val="0"/>
      <w:spacing w:before="50" w:beforeLines="50" w:line="312" w:lineRule="auto"/>
      <w:jc w:val="center"/>
      <w:outlineLvl w:val="0"/>
    </w:pPr>
    <w:rPr>
      <w:rFonts w:ascii="+西文标题" w:hAnsi="+西文标题" w:eastAsia="+中文标题" w:cs="Times New Roman"/>
      <w:b/>
      <w:bCs/>
      <w:kern w:val="44"/>
      <w:sz w:val="32"/>
      <w:szCs w:val="32"/>
    </w:rPr>
  </w:style>
  <w:style w:type="paragraph" w:customStyle="1" w:styleId="67">
    <w:name w:val="参考文献标题"/>
    <w:qFormat/>
    <w:uiPriority w:val="0"/>
    <w:pPr>
      <w:keepNext/>
      <w:keepLines/>
      <w:spacing w:before="50" w:beforeLines="50" w:after="20" w:afterLines="20" w:line="312" w:lineRule="auto"/>
      <w:jc w:val="center"/>
      <w:outlineLvl w:val="0"/>
    </w:pPr>
    <w:rPr>
      <w:rFonts w:ascii="+西文标题" w:hAnsi="+西文标题" w:eastAsia="+中文标题" w:cs="Times New Roman"/>
      <w:b/>
      <w:bCs/>
      <w:kern w:val="44"/>
      <w:sz w:val="32"/>
      <w:szCs w:val="32"/>
    </w:rPr>
  </w:style>
  <w:style w:type="paragraph" w:customStyle="1" w:styleId="68">
    <w:name w:val="声明标题"/>
    <w:qFormat/>
    <w:uiPriority w:val="0"/>
    <w:pPr>
      <w:keepNext/>
      <w:keepLines/>
      <w:adjustRightInd w:val="0"/>
      <w:snapToGrid w:val="0"/>
      <w:spacing w:before="50" w:beforeLines="50" w:line="312" w:lineRule="auto"/>
      <w:jc w:val="center"/>
      <w:outlineLvl w:val="0"/>
    </w:pPr>
    <w:rPr>
      <w:rFonts w:hint="default" w:cs="Times New Roman" w:asciiTheme="majorAscii" w:hAnsiTheme="majorAscii" w:eastAsiaTheme="majorEastAsia"/>
      <w:b/>
      <w:bCs/>
      <w:kern w:val="44"/>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3480</Words>
  <Characters>3556</Characters>
  <Lines>80</Lines>
  <Paragraphs>22</Paragraphs>
  <TotalTime>10</TotalTime>
  <ScaleCrop>false</ScaleCrop>
  <LinksUpToDate>false</LinksUpToDate>
  <CharactersWithSpaces>3562</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2025-02-26T12:43:00Z</dcterms:created>
  <dc:creator>Administrator</dc:creator>
  <cp:lastModifiedBy>李力</cp:lastModifiedBy>
  <cp:lastPrinted>2026-02-02T08:52:00Z</cp:lastPrinted>
  <dcterms:modified xsi:type="dcterms:W3CDTF">2026-05-22T01:56:17Z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9C843373CCA148CAAD9E06BA2921C75D_13</vt:lpwstr>
  </property>
  <property fmtid="{D5CDD505-2E9C-101B-9397-08002B2CF9AE}" pid="4" name="KSOTemplateDocerSaveRecord">
    <vt:lpwstr>eyJoZGlkIjoiMzg1MzA5YmJjNmMzYzc3ZjM5NmVkMDMzNDQyOWU0NjIiLCJ1c2VySWQiOiI1NjM5ODAxNDAifQ==</vt:lpwstr>
  </property>
</Properties>
</file>