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hAnsi="方正小标宋简体" w:eastAsia="方正小标宋简体" w:cs="方正小标宋简体"/>
          <w:sz w:val="44"/>
          <w:szCs w:val="44"/>
        </w:rPr>
      </w:pPr>
    </w:p>
    <w:p>
      <w:pPr>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关于《江岸区推进国家“双创”示范基地</w:t>
      </w:r>
    </w:p>
    <w:p>
      <w:pPr>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建设政策清单》的政策解读</w:t>
      </w:r>
    </w:p>
    <w:p>
      <w:pPr>
        <w:pStyle w:val="2"/>
        <w:spacing w:line="570" w:lineRule="exact"/>
        <w:ind w:left="31680" w:firstLine="31680"/>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黑体" w:eastAsia="仿宋_GB2312" w:cs="黑体"/>
          <w:sz w:val="32"/>
          <w:szCs w:val="32"/>
        </w:rPr>
      </w:pPr>
      <w:r>
        <w:rPr>
          <w:rFonts w:hint="eastAsia" w:ascii="仿宋_GB2312" w:hAnsi="Arial" w:eastAsia="仿宋_GB2312" w:cs="Arial"/>
          <w:color w:val="000000"/>
          <w:sz w:val="32"/>
          <w:szCs w:val="32"/>
          <w:shd w:val="clear" w:color="auto" w:fill="FFFFFF"/>
        </w:rPr>
        <w:t>近日，区人民政府印发了《江岸区推进国家“双创”示范基地建设政策清单》</w:t>
      </w:r>
      <w:r>
        <w:rPr>
          <w:rFonts w:hint="eastAsia" w:ascii="仿宋_GB2312" w:hAnsi="Arial" w:eastAsia="仿宋_GB2312" w:cs="Arial"/>
          <w:color w:val="000000"/>
          <w:sz w:val="32"/>
          <w:szCs w:val="32"/>
          <w:shd w:val="clear" w:color="auto" w:fill="FFFFFF"/>
          <w:lang w:eastAsia="zh-CN"/>
        </w:rPr>
        <w:t>（岸政〔2020〕19号）</w:t>
      </w:r>
      <w:r>
        <w:rPr>
          <w:rFonts w:ascii="仿宋_GB2312" w:hAnsi="宋体" w:eastAsia="仿宋_GB2312" w:cs="仿宋_GB2312"/>
          <w:i w:val="0"/>
          <w:caps w:val="0"/>
          <w:color w:val="333333"/>
          <w:spacing w:val="0"/>
          <w:sz w:val="31"/>
          <w:szCs w:val="31"/>
          <w:shd w:val="clear" w:fill="FFFFFF"/>
        </w:rPr>
        <w:t>（</w:t>
      </w:r>
      <w:r>
        <w:rPr>
          <w:rFonts w:hint="eastAsia" w:ascii="仿宋_GB2312" w:hAnsi="宋体" w:eastAsia="仿宋_GB2312" w:cs="仿宋_GB2312"/>
          <w:i w:val="0"/>
          <w:caps w:val="0"/>
          <w:color w:val="333333"/>
          <w:spacing w:val="0"/>
          <w:sz w:val="31"/>
          <w:szCs w:val="31"/>
          <w:shd w:val="clear" w:fill="FFFFFF"/>
        </w:rPr>
        <w:t>以下简称《</w:t>
      </w:r>
      <w:r>
        <w:rPr>
          <w:rFonts w:hint="eastAsia" w:ascii="仿宋_GB2312" w:hAnsi="Arial" w:eastAsia="仿宋_GB2312" w:cs="Arial"/>
          <w:color w:val="000000"/>
          <w:sz w:val="32"/>
          <w:szCs w:val="32"/>
          <w:shd w:val="clear" w:color="auto" w:fill="FFFFFF"/>
        </w:rPr>
        <w:t>政策清单</w:t>
      </w:r>
      <w:r>
        <w:rPr>
          <w:rFonts w:hint="eastAsia" w:ascii="仿宋_GB2312" w:hAnsi="宋体" w:eastAsia="仿宋_GB2312" w:cs="仿宋_GB2312"/>
          <w:i w:val="0"/>
          <w:caps w:val="0"/>
          <w:color w:val="333333"/>
          <w:spacing w:val="0"/>
          <w:sz w:val="31"/>
          <w:szCs w:val="31"/>
          <w:shd w:val="clear" w:fill="FFFFFF"/>
        </w:rPr>
        <w:t>》）</w:t>
      </w:r>
      <w:r>
        <w:rPr>
          <w:rFonts w:hint="eastAsia" w:ascii="仿宋_GB2312" w:hAnsi="Arial" w:eastAsia="仿宋_GB2312" w:cs="Arial"/>
          <w:color w:val="000000"/>
          <w:sz w:val="32"/>
          <w:szCs w:val="32"/>
          <w:shd w:val="clear" w:color="auto" w:fill="FFFFFF"/>
        </w:rPr>
        <w:t>，现解读如下：</w:t>
      </w:r>
    </w:p>
    <w:p>
      <w:pPr>
        <w:pStyle w:val="2"/>
        <w:keepNext w:val="0"/>
        <w:keepLines w:val="0"/>
        <w:pageBreakBefore w:val="0"/>
        <w:widowControl w:val="0"/>
        <w:numPr>
          <w:numId w:val="0"/>
        </w:numPr>
        <w:kinsoku/>
        <w:wordWrap/>
        <w:overflowPunct/>
        <w:topLinePunct w:val="0"/>
        <w:autoSpaceDE/>
        <w:autoSpaceDN/>
        <w:bidi w:val="0"/>
        <w:adjustRightInd/>
        <w:snapToGrid/>
        <w:spacing w:line="550" w:lineRule="exact"/>
        <w:ind w:leftChars="4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一、制定背景</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2017年6月，我区获批国家级</w:t>
      </w:r>
      <w:r>
        <w:rPr>
          <w:rFonts w:ascii="仿宋_GB2312" w:hAnsi="宋体" w:eastAsia="仿宋_GB2312" w:cs="仿宋_GB2312"/>
          <w:sz w:val="32"/>
          <w:szCs w:val="32"/>
        </w:rPr>
        <w:t>“双创”示范基地</w:t>
      </w:r>
      <w:r>
        <w:rPr>
          <w:rFonts w:hint="eastAsia" w:ascii="仿宋_GB2312" w:hAnsi="宋体" w:eastAsia="仿宋_GB2312" w:cs="仿宋_GB2312"/>
          <w:sz w:val="32"/>
          <w:szCs w:val="32"/>
          <w:lang w:eastAsia="zh-CN"/>
        </w:rPr>
        <w:t>，同年</w:t>
      </w:r>
      <w:r>
        <w:rPr>
          <w:rFonts w:hint="eastAsia" w:ascii="仿宋_GB2312" w:hAnsi="宋体" w:eastAsia="仿宋_GB2312" w:cs="仿宋_GB2312"/>
          <w:sz w:val="32"/>
          <w:szCs w:val="32"/>
          <w:lang w:val="en-US" w:eastAsia="zh-CN"/>
        </w:rPr>
        <w:t>10月，中共江岸区委、江岸区人民政府印发了</w:t>
      </w:r>
      <w:r>
        <w:rPr>
          <w:rFonts w:ascii="仿宋_GB2312" w:hAnsi="宋体" w:eastAsia="仿宋_GB2312" w:cs="仿宋_GB2312"/>
          <w:sz w:val="32"/>
          <w:szCs w:val="32"/>
        </w:rPr>
        <w:t>《江岸区推进国家“双创”示范基地建设政策清单》</w:t>
      </w:r>
      <w:r>
        <w:rPr>
          <w:rFonts w:hint="eastAsia" w:ascii="仿宋_GB2312" w:hAnsi="宋体" w:eastAsia="仿宋_GB2312" w:cs="仿宋_GB2312"/>
          <w:sz w:val="32"/>
          <w:szCs w:val="32"/>
          <w:lang w:eastAsia="zh-CN"/>
        </w:rPr>
        <w:t>（岸文〔20</w:t>
      </w:r>
      <w:r>
        <w:rPr>
          <w:rFonts w:hint="eastAsia" w:ascii="仿宋_GB2312" w:hAnsi="宋体" w:eastAsia="仿宋_GB2312" w:cs="仿宋_GB2312"/>
          <w:sz w:val="32"/>
          <w:szCs w:val="32"/>
          <w:lang w:val="en-US" w:eastAsia="zh-CN"/>
        </w:rPr>
        <w:t>17</w:t>
      </w:r>
      <w:r>
        <w:rPr>
          <w:rFonts w:hint="eastAsia" w:ascii="仿宋_GB2312" w:hAnsi="宋体" w:eastAsia="仿宋_GB2312" w:cs="仿宋_GB2312"/>
          <w:sz w:val="32"/>
          <w:szCs w:val="32"/>
          <w:lang w:eastAsia="zh-CN"/>
        </w:rPr>
        <w:t>〕19号），</w:t>
      </w:r>
      <w:r>
        <w:rPr>
          <w:rFonts w:hint="eastAsia" w:ascii="仿宋_GB2312" w:hAnsi="仿宋_GB2312" w:eastAsia="仿宋_GB2312"/>
          <w:b w:val="0"/>
          <w:i w:val="0"/>
          <w:snapToGrid/>
          <w:color w:val="000000"/>
          <w:sz w:val="32"/>
          <w:shd w:val="clear" w:color="auto" w:fill="FFFFFF"/>
          <w:lang w:eastAsia="zh-CN"/>
        </w:rPr>
        <w:t>对实施创新驱动发展战略和推动全区高质量发展起到了积极的促进作用，区域创新能力得到了进一步提升。</w:t>
      </w:r>
      <w:r>
        <w:rPr>
          <w:rFonts w:hint="eastAsia" w:ascii="仿宋_GB2312" w:hAnsi="宋体" w:eastAsia="仿宋_GB2312" w:cs="仿宋_GB2312"/>
          <w:sz w:val="32"/>
          <w:szCs w:val="32"/>
          <w:lang w:eastAsia="zh-CN"/>
        </w:rPr>
        <w:t>三年来，我区“双创”建设工作取得了一定成绩，</w:t>
      </w:r>
      <w:r>
        <w:rPr>
          <w:rFonts w:hint="eastAsia" w:ascii="仿宋_GB2312" w:hAnsi="宋体" w:eastAsia="仿宋_GB2312" w:cs="仿宋_GB2312"/>
          <w:sz w:val="32"/>
          <w:szCs w:val="32"/>
          <w:lang w:val="en-US" w:eastAsia="zh-CN"/>
        </w:rPr>
        <w:t>2020年</w:t>
      </w:r>
      <w:r>
        <w:rPr>
          <w:rFonts w:hint="eastAsia" w:ascii="仿宋_GB2312" w:hAnsi="宋体" w:eastAsia="仿宋_GB2312" w:cs="仿宋_GB2312"/>
          <w:sz w:val="32"/>
          <w:szCs w:val="32"/>
          <w:lang w:eastAsia="zh-CN"/>
        </w:rPr>
        <w:t>5月，《国务院办公厅关于对2019年落实有关重大政策措施真抓实干成效明显地方予以督查激励的通报》（国办发〔2020〕9号）将江岸区列为“成效明显的区域双创示范基地”。</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lang w:eastAsia="zh-CN"/>
        </w:rPr>
      </w:pPr>
      <w:r>
        <w:rPr>
          <w:rFonts w:hint="eastAsia" w:ascii="仿宋_GB2312" w:hAnsi="仿宋_GB2312" w:eastAsia="仿宋_GB2312"/>
          <w:b w:val="0"/>
          <w:i w:val="0"/>
          <w:snapToGrid/>
          <w:color w:val="000000"/>
          <w:sz w:val="32"/>
          <w:shd w:val="clear" w:color="auto" w:fill="FFFFFF"/>
          <w:lang w:eastAsia="zh-CN"/>
        </w:rPr>
        <w:t>取得成绩的同时，</w:t>
      </w:r>
      <w:r>
        <w:rPr>
          <w:rFonts w:hint="eastAsia" w:ascii="仿宋_GB2312" w:hAnsi="宋体" w:eastAsia="仿宋_GB2312" w:cs="仿宋_GB2312"/>
          <w:sz w:val="32"/>
          <w:szCs w:val="32"/>
          <w:lang w:eastAsia="zh-CN"/>
        </w:rPr>
        <w:t>也面临一些问题。一是</w:t>
      </w:r>
      <w:r>
        <w:rPr>
          <w:rFonts w:hint="eastAsia" w:ascii="仿宋_GB2312" w:hAnsi="仿宋_GB2312" w:eastAsia="仿宋_GB2312"/>
          <w:b w:val="0"/>
          <w:i w:val="0"/>
          <w:snapToGrid/>
          <w:color w:val="000000"/>
          <w:sz w:val="32"/>
          <w:shd w:val="clear" w:color="auto" w:fill="FFFFFF"/>
          <w:lang w:eastAsia="zh-CN"/>
        </w:rPr>
        <w:t>由于工作重点的转移、工作内容的变化，特别是上级有关政策调整等原因，</w:t>
      </w:r>
      <w:r>
        <w:rPr>
          <w:rFonts w:ascii="仿宋_GB2312" w:hAnsi="宋体" w:eastAsia="仿宋_GB2312" w:cs="仿宋_GB2312"/>
          <w:sz w:val="32"/>
          <w:szCs w:val="32"/>
        </w:rPr>
        <w:t>《江岸区推进国家“双创”示范基地建设政策清单》</w:t>
      </w:r>
      <w:r>
        <w:rPr>
          <w:rFonts w:hint="eastAsia" w:ascii="仿宋_GB2312" w:hAnsi="宋体" w:eastAsia="仿宋_GB2312" w:cs="仿宋_GB2312"/>
          <w:sz w:val="32"/>
          <w:szCs w:val="32"/>
          <w:lang w:eastAsia="zh-CN"/>
        </w:rPr>
        <w:t>（岸文〔20</w:t>
      </w:r>
      <w:r>
        <w:rPr>
          <w:rFonts w:hint="eastAsia" w:ascii="仿宋_GB2312" w:hAnsi="宋体" w:eastAsia="仿宋_GB2312" w:cs="仿宋_GB2312"/>
          <w:sz w:val="32"/>
          <w:szCs w:val="32"/>
          <w:lang w:val="en-US" w:eastAsia="zh-CN"/>
        </w:rPr>
        <w:t>17</w:t>
      </w:r>
      <w:r>
        <w:rPr>
          <w:rFonts w:hint="eastAsia" w:ascii="仿宋_GB2312" w:hAnsi="宋体" w:eastAsia="仿宋_GB2312" w:cs="仿宋_GB2312"/>
          <w:sz w:val="32"/>
          <w:szCs w:val="32"/>
          <w:lang w:eastAsia="zh-CN"/>
        </w:rPr>
        <w:t>〕19号）</w:t>
      </w:r>
      <w:r>
        <w:rPr>
          <w:rFonts w:hint="eastAsia" w:ascii="仿宋_GB2312" w:hAnsi="仿宋_GB2312" w:eastAsia="仿宋_GB2312"/>
          <w:b w:val="0"/>
          <w:i w:val="0"/>
          <w:snapToGrid/>
          <w:color w:val="000000"/>
          <w:sz w:val="32"/>
          <w:shd w:val="clear" w:color="auto" w:fill="FFFFFF"/>
          <w:lang w:eastAsia="zh-CN"/>
        </w:rPr>
        <w:t>中的个别条款存在不便操作、不够细化问题</w:t>
      </w:r>
      <w:r>
        <w:rPr>
          <w:rFonts w:hint="eastAsia" w:ascii="仿宋_GB2312" w:hAnsi="宋体" w:eastAsia="仿宋_GB2312" w:cs="仿宋_GB2312"/>
          <w:sz w:val="32"/>
          <w:szCs w:val="32"/>
          <w:lang w:eastAsia="zh-CN"/>
        </w:rPr>
        <w:t>；二是部分政策不太适宜现阶段实际情况，部分奖励条款与行业准入要求冲突。为了进一步促进</w:t>
      </w:r>
      <w:r>
        <w:rPr>
          <w:rFonts w:ascii="仿宋_GB2312" w:hAnsi="宋体" w:eastAsia="仿宋_GB2312" w:cs="仿宋_GB2312"/>
          <w:sz w:val="32"/>
          <w:szCs w:val="32"/>
        </w:rPr>
        <w:t>江岸区“双创”示范基地建设</w:t>
      </w:r>
      <w:r>
        <w:rPr>
          <w:rFonts w:hint="eastAsia" w:ascii="仿宋_GB2312" w:hAnsi="宋体" w:eastAsia="仿宋_GB2312" w:cs="仿宋_GB2312"/>
          <w:sz w:val="32"/>
          <w:szCs w:val="32"/>
          <w:lang w:eastAsia="zh-CN"/>
        </w:rPr>
        <w:t>，需对政策进行修订</w:t>
      </w:r>
      <w:bookmarkStart w:id="0" w:name="_GoBack"/>
      <w:bookmarkEnd w:id="0"/>
      <w:r>
        <w:rPr>
          <w:rFonts w:hint="eastAsia" w:ascii="仿宋_GB2312" w:hAnsi="宋体" w:eastAsia="仿宋_GB2312" w:cs="仿宋_GB2312"/>
          <w:sz w:val="32"/>
          <w:szCs w:val="32"/>
          <w:lang w:eastAsia="zh-CN"/>
        </w:rPr>
        <w:t>完善。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4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二、起草过程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b w:val="0"/>
          <w:i w:val="0"/>
          <w:snapToGrid/>
          <w:color w:val="000000"/>
          <w:sz w:val="32"/>
          <w:shd w:val="clear" w:color="auto" w:fill="FFFFFF"/>
          <w:lang w:eastAsia="zh-CN"/>
        </w:rPr>
      </w:pPr>
      <w:r>
        <w:rPr>
          <w:rFonts w:hint="eastAsia" w:ascii="仿宋_GB2312" w:hAnsi="仿宋_GB2312" w:eastAsia="仿宋_GB2312"/>
          <w:b w:val="0"/>
          <w:i w:val="0"/>
          <w:snapToGrid/>
          <w:color w:val="000000"/>
          <w:sz w:val="32"/>
          <w:shd w:val="clear" w:color="auto" w:fill="FFFFFF"/>
          <w:lang w:eastAsia="zh-CN"/>
        </w:rPr>
        <w:t>区发改局按照区委区政府要求，对《江岸区推进国家“双创”示范基地建设政策清单》（岸文〔20</w:t>
      </w:r>
      <w:r>
        <w:rPr>
          <w:rFonts w:hint="eastAsia" w:ascii="仿宋_GB2312" w:hAnsi="仿宋_GB2312" w:eastAsia="仿宋_GB2312"/>
          <w:b w:val="0"/>
          <w:i w:val="0"/>
          <w:snapToGrid/>
          <w:color w:val="000000"/>
          <w:sz w:val="32"/>
          <w:shd w:val="clear" w:color="auto" w:fill="FFFFFF"/>
          <w:lang w:val="en-US" w:eastAsia="zh-CN"/>
        </w:rPr>
        <w:t>17</w:t>
      </w:r>
      <w:r>
        <w:rPr>
          <w:rFonts w:hint="eastAsia" w:ascii="仿宋_GB2312" w:hAnsi="仿宋_GB2312" w:eastAsia="仿宋_GB2312"/>
          <w:b w:val="0"/>
          <w:i w:val="0"/>
          <w:snapToGrid/>
          <w:color w:val="000000"/>
          <w:sz w:val="32"/>
          <w:shd w:val="clear" w:color="auto" w:fill="FFFFFF"/>
          <w:lang w:eastAsia="zh-CN"/>
        </w:rPr>
        <w:t>〕19号）进行修订。根据区领导多听意见、增强操作性、进一步细化政策清单的要求，我局多次在全区征求相关部门意见，并多次集中</w:t>
      </w:r>
      <w:r>
        <w:rPr>
          <w:rFonts w:hint="eastAsia" w:ascii="仿宋_GB2312" w:hAnsi="仿宋_GB2312" w:eastAsia="仿宋_GB2312"/>
          <w:b w:val="0"/>
          <w:i w:val="0"/>
          <w:snapToGrid/>
          <w:color w:val="000000"/>
          <w:sz w:val="32"/>
          <w:shd w:val="clear" w:color="auto" w:fill="FFFFFF"/>
          <w:lang w:eastAsia="zh-CN"/>
        </w:rPr>
        <w:t>专题研究双创政策修订工作，以进一步增强政策条款的指导性和实操性为原则，逐条梳理双创政策。结合我区实际，形成了《政策清单》。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4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三、主要内容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b w:val="0"/>
          <w:i w:val="0"/>
          <w:snapToGrid/>
          <w:color w:val="000000"/>
          <w:sz w:val="32"/>
          <w:shd w:val="clear" w:color="auto" w:fill="FFFFFF"/>
          <w:lang w:val="en-US" w:eastAsia="zh-CN"/>
        </w:rPr>
      </w:pPr>
      <w:r>
        <w:rPr>
          <w:rFonts w:hint="eastAsia" w:ascii="仿宋_GB2312" w:hAnsi="仿宋_GB2312" w:eastAsia="仿宋_GB2312"/>
          <w:b w:val="0"/>
          <w:i w:val="0"/>
          <w:snapToGrid/>
          <w:color w:val="000000"/>
          <w:sz w:val="32"/>
          <w:shd w:val="clear" w:color="auto" w:fill="FFFFFF"/>
          <w:lang w:eastAsia="zh-CN"/>
        </w:rPr>
        <w:t>为适应我区经济社会高质量发展和鼓励支持双创建设的需要，新</w:t>
      </w:r>
      <w:r>
        <w:rPr>
          <w:rFonts w:hint="eastAsia" w:ascii="仿宋_GB2312" w:hAnsi="仿宋_GB2312" w:eastAsia="仿宋_GB2312"/>
          <w:b w:val="0"/>
          <w:i w:val="0"/>
          <w:snapToGrid/>
          <w:color w:val="000000"/>
          <w:sz w:val="32"/>
          <w:shd w:val="clear" w:color="auto" w:fill="FFFFFF"/>
          <w:lang w:val="en-US" w:eastAsia="zh-CN"/>
        </w:rPr>
        <w:t>修订的《</w:t>
      </w:r>
      <w:r>
        <w:rPr>
          <w:rFonts w:hint="eastAsia" w:ascii="仿宋_GB2312" w:hAnsi="仿宋_GB2312" w:eastAsia="仿宋_GB2312"/>
          <w:b w:val="0"/>
          <w:i w:val="0"/>
          <w:snapToGrid/>
          <w:color w:val="000000"/>
          <w:sz w:val="32"/>
          <w:shd w:val="clear" w:color="auto" w:fill="FFFFFF"/>
          <w:lang w:eastAsia="zh-CN"/>
        </w:rPr>
        <w:t>政策清单</w:t>
      </w:r>
      <w:r>
        <w:rPr>
          <w:rFonts w:hint="eastAsia" w:ascii="仿宋_GB2312" w:hAnsi="仿宋_GB2312" w:eastAsia="仿宋_GB2312"/>
          <w:b w:val="0"/>
          <w:i w:val="0"/>
          <w:snapToGrid/>
          <w:color w:val="000000"/>
          <w:sz w:val="32"/>
          <w:shd w:val="clear" w:color="auto" w:fill="FFFFFF"/>
          <w:lang w:val="en-US" w:eastAsia="zh-CN"/>
        </w:rPr>
        <w:t>》共11条，由六部分构成。</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b w:val="0"/>
          <w:i w:val="0"/>
          <w:snapToGrid/>
          <w:color w:val="000000"/>
          <w:sz w:val="32"/>
          <w:shd w:val="clear" w:color="auto" w:fill="FFFFFF"/>
          <w:lang w:eastAsia="zh-CN"/>
        </w:rPr>
      </w:pPr>
      <w:r>
        <w:rPr>
          <w:rFonts w:hint="eastAsia" w:ascii="仿宋_GB2312" w:hAnsi="仿宋_GB2312" w:eastAsia="仿宋_GB2312"/>
          <w:b w:val="0"/>
          <w:i w:val="0"/>
          <w:snapToGrid/>
          <w:color w:val="000000"/>
          <w:sz w:val="32"/>
          <w:shd w:val="clear" w:color="auto" w:fill="FFFFFF"/>
          <w:lang w:eastAsia="zh-CN"/>
        </w:rPr>
        <w:t>一是支持和培育“双创”企业。主要包括：鼓励初创企业发展和鼓励企业申报高新技术企业。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b w:val="0"/>
          <w:i w:val="0"/>
          <w:snapToGrid/>
          <w:color w:val="000000"/>
          <w:sz w:val="32"/>
          <w:shd w:val="clear" w:color="auto" w:fill="FFFFFF"/>
          <w:lang w:eastAsia="zh-CN"/>
        </w:rPr>
      </w:pPr>
      <w:r>
        <w:rPr>
          <w:rFonts w:hint="eastAsia" w:ascii="仿宋_GB2312" w:hAnsi="仿宋_GB2312" w:eastAsia="仿宋_GB2312"/>
          <w:b w:val="0"/>
          <w:i w:val="0"/>
          <w:snapToGrid/>
          <w:color w:val="000000"/>
          <w:sz w:val="32"/>
          <w:shd w:val="clear" w:color="auto" w:fill="FFFFFF"/>
          <w:lang w:eastAsia="zh-CN"/>
        </w:rPr>
        <w:t>二是支持企业科技创新。主要包括：补贴企业研发投入。</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b w:val="0"/>
          <w:i w:val="0"/>
          <w:snapToGrid/>
          <w:color w:val="000000"/>
          <w:sz w:val="32"/>
          <w:shd w:val="clear" w:color="auto" w:fill="FFFFFF"/>
          <w:lang w:eastAsia="zh-CN"/>
        </w:rPr>
      </w:pPr>
      <w:r>
        <w:rPr>
          <w:rFonts w:hint="eastAsia" w:ascii="仿宋_GB2312" w:hAnsi="仿宋_GB2312" w:eastAsia="仿宋_GB2312"/>
          <w:b w:val="0"/>
          <w:i w:val="0"/>
          <w:snapToGrid/>
          <w:color w:val="000000"/>
          <w:sz w:val="32"/>
          <w:shd w:val="clear" w:color="auto" w:fill="FFFFFF"/>
          <w:lang w:eastAsia="zh-CN"/>
        </w:rPr>
        <w:t>三是支持建设“双创”载体。主要包括：鼓励企业建设创新平台和鼓励孵化器或众创空间做优做强。</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b w:val="0"/>
          <w:i w:val="0"/>
          <w:snapToGrid/>
          <w:color w:val="000000"/>
          <w:sz w:val="32"/>
          <w:shd w:val="clear" w:color="auto" w:fill="FFFFFF"/>
          <w:lang w:eastAsia="zh-CN"/>
        </w:rPr>
      </w:pPr>
      <w:r>
        <w:rPr>
          <w:rFonts w:hint="eastAsia" w:ascii="仿宋_GB2312" w:hAnsi="仿宋_GB2312" w:eastAsia="仿宋_GB2312"/>
          <w:b w:val="0"/>
          <w:i w:val="0"/>
          <w:snapToGrid/>
          <w:color w:val="000000"/>
          <w:sz w:val="32"/>
          <w:shd w:val="clear" w:color="auto" w:fill="FFFFFF"/>
          <w:lang w:eastAsia="zh-CN"/>
        </w:rPr>
        <w:t>四是支持科技成果转化。主要包括：鼓励和支持企业吸纳技术实现科技成果转化、科技成果转化服务机构建设补贴和科技成果转化项目。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b w:val="0"/>
          <w:i w:val="0"/>
          <w:snapToGrid/>
          <w:color w:val="000000"/>
          <w:sz w:val="32"/>
          <w:shd w:val="clear" w:color="auto" w:fill="FFFFFF"/>
          <w:lang w:eastAsia="zh-CN"/>
        </w:rPr>
      </w:pPr>
      <w:r>
        <w:rPr>
          <w:rFonts w:hint="eastAsia" w:ascii="仿宋_GB2312" w:hAnsi="仿宋_GB2312" w:eastAsia="仿宋_GB2312"/>
          <w:b w:val="0"/>
          <w:i w:val="0"/>
          <w:snapToGrid/>
          <w:color w:val="000000"/>
          <w:sz w:val="32"/>
          <w:shd w:val="clear" w:color="auto" w:fill="FFFFFF"/>
          <w:lang w:eastAsia="zh-CN"/>
        </w:rPr>
        <w:t>五是支持汇聚双创人才。主要包括：加大青年人才创业扶持和鼓励企业吸纳大学生实习实训。</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b w:val="0"/>
          <w:i w:val="0"/>
          <w:snapToGrid/>
          <w:color w:val="000000"/>
          <w:sz w:val="32"/>
          <w:shd w:val="clear" w:color="auto" w:fill="FFFFFF"/>
          <w:lang w:eastAsia="zh-CN"/>
        </w:rPr>
      </w:pPr>
      <w:r>
        <w:rPr>
          <w:rFonts w:hint="eastAsia" w:ascii="仿宋_GB2312" w:hAnsi="仿宋_GB2312" w:eastAsia="仿宋_GB2312"/>
          <w:b w:val="0"/>
          <w:i w:val="0"/>
          <w:snapToGrid/>
          <w:color w:val="000000"/>
          <w:sz w:val="32"/>
          <w:shd w:val="clear" w:color="auto" w:fill="FFFFFF"/>
          <w:lang w:eastAsia="zh-CN"/>
        </w:rPr>
        <w:t>六是附则。对</w:t>
      </w:r>
      <w:r>
        <w:rPr>
          <w:rFonts w:hint="eastAsia" w:ascii="仿宋_GB2312" w:hAnsi="仿宋_GB2312" w:eastAsia="仿宋_GB2312"/>
          <w:b w:val="0"/>
          <w:i w:val="0"/>
          <w:snapToGrid/>
          <w:color w:val="000000"/>
          <w:sz w:val="32"/>
          <w:shd w:val="clear" w:color="auto" w:fill="FFFFFF"/>
          <w:lang w:val="en-US" w:eastAsia="zh-CN"/>
        </w:rPr>
        <w:t>《</w:t>
      </w:r>
      <w:r>
        <w:rPr>
          <w:rFonts w:hint="eastAsia" w:ascii="仿宋_GB2312" w:hAnsi="仿宋_GB2312" w:eastAsia="仿宋_GB2312"/>
          <w:b w:val="0"/>
          <w:i w:val="0"/>
          <w:snapToGrid/>
          <w:color w:val="000000"/>
          <w:sz w:val="32"/>
          <w:shd w:val="clear" w:color="auto" w:fill="FFFFFF"/>
          <w:lang w:eastAsia="zh-CN"/>
        </w:rPr>
        <w:t>政策清单</w:t>
      </w:r>
      <w:r>
        <w:rPr>
          <w:rFonts w:hint="eastAsia" w:ascii="仿宋_GB2312" w:hAnsi="仿宋_GB2312" w:eastAsia="仿宋_GB2312"/>
          <w:b w:val="0"/>
          <w:i w:val="0"/>
          <w:snapToGrid/>
          <w:color w:val="000000"/>
          <w:sz w:val="32"/>
          <w:shd w:val="clear" w:color="auto" w:fill="FFFFFF"/>
          <w:lang w:val="en-US" w:eastAsia="zh-CN"/>
        </w:rPr>
        <w:t>》的适用条件及相关要求进行了说明。</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spacing w:line="240" w:lineRule="exact"/>
      <w:rPr>
        <w:rStyle w:val="10"/>
        <w:rFonts w:ascii="Times New Roman" w:hAnsi="Times New Roman"/>
        <w:color w:val="FFFFFF"/>
        <w:sz w:val="32"/>
        <w:szCs w:val="32"/>
      </w:rPr>
    </w:pPr>
    <w:r>
      <w:rPr>
        <w:rStyle w:val="10"/>
        <w:rFonts w:ascii="Times New Roman" w:hAnsi="Times New Roman"/>
        <w:color w:val="FFFFFF"/>
        <w:sz w:val="32"/>
        <w:szCs w:val="32"/>
      </w:rPr>
      <w:t>—</w:t>
    </w:r>
    <w:r>
      <w:rPr>
        <w:rStyle w:val="10"/>
        <w:rFonts w:ascii="Times New Roman" w:hAnsi="Times New Roman"/>
        <w:sz w:val="20"/>
        <w:szCs w:val="20"/>
      </w:rPr>
      <w:t xml:space="preserve">— </w:t>
    </w:r>
    <w:r>
      <w:rPr>
        <w:rStyle w:val="10"/>
        <w:rFonts w:ascii="Times New Roman" w:hAnsi="Times New Roman"/>
        <w:sz w:val="20"/>
        <w:szCs w:val="20"/>
      </w:rPr>
      <w:fldChar w:fldCharType="begin"/>
    </w:r>
    <w:r>
      <w:rPr>
        <w:rStyle w:val="10"/>
        <w:rFonts w:ascii="Times New Roman" w:hAnsi="Times New Roman"/>
        <w:sz w:val="20"/>
        <w:szCs w:val="20"/>
      </w:rPr>
      <w:instrText xml:space="preserve">PAGE  </w:instrText>
    </w:r>
    <w:r>
      <w:rPr>
        <w:rStyle w:val="10"/>
        <w:rFonts w:ascii="Times New Roman" w:hAnsi="Times New Roman"/>
        <w:sz w:val="20"/>
        <w:szCs w:val="20"/>
      </w:rPr>
      <w:fldChar w:fldCharType="separate"/>
    </w:r>
    <w:r>
      <w:rPr>
        <w:rStyle w:val="10"/>
        <w:rFonts w:ascii="Times New Roman" w:hAnsi="Times New Roman"/>
        <w:sz w:val="20"/>
        <w:szCs w:val="20"/>
      </w:rPr>
      <w:t>2</w:t>
    </w:r>
    <w:r>
      <w:rPr>
        <w:rStyle w:val="10"/>
        <w:rFonts w:ascii="Times New Roman" w:hAnsi="Times New Roman"/>
        <w:sz w:val="20"/>
        <w:szCs w:val="20"/>
      </w:rPr>
      <w:fldChar w:fldCharType="end"/>
    </w:r>
    <w:r>
      <w:rPr>
        <w:rStyle w:val="10"/>
        <w:rFonts w:ascii="Times New Roman" w:hAnsi="Times New Roman"/>
        <w:sz w:val="20"/>
        <w:szCs w:val="20"/>
      </w:rPr>
      <w:t xml:space="preserve"> —</w:t>
    </w:r>
    <w:r>
      <w:rPr>
        <w:rStyle w:val="10"/>
        <w:rFonts w:ascii="Times New Roman" w:hAnsi="Times New Roman"/>
        <w:color w:val="FFFFFF"/>
        <w:sz w:val="32"/>
        <w:szCs w:val="32"/>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828"/>
    <w:rsid w:val="002275DD"/>
    <w:rsid w:val="002B20BC"/>
    <w:rsid w:val="004427FB"/>
    <w:rsid w:val="004D7828"/>
    <w:rsid w:val="00595DB0"/>
    <w:rsid w:val="008C38C2"/>
    <w:rsid w:val="00AA20B4"/>
    <w:rsid w:val="00B11E91"/>
    <w:rsid w:val="00D97A55"/>
    <w:rsid w:val="0EAE54D9"/>
    <w:rsid w:val="205848BD"/>
    <w:rsid w:val="44782E12"/>
    <w:rsid w:val="641C4BB1"/>
    <w:rsid w:val="6ABB00A7"/>
    <w:rsid w:val="78CA4CF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2"/>
    <w:uiPriority w:val="99"/>
    <w:pPr>
      <w:ind w:firstLine="420" w:firstLineChars="200"/>
    </w:pPr>
  </w:style>
  <w:style w:type="paragraph" w:styleId="3">
    <w:name w:val="Body Text Indent"/>
    <w:basedOn w:val="1"/>
    <w:link w:val="11"/>
    <w:qFormat/>
    <w:uiPriority w:val="99"/>
    <w:pPr>
      <w:ind w:left="420" w:leftChars="200"/>
    </w:pPr>
    <w:rPr>
      <w:rFonts w:ascii="Times New Roman" w:hAnsi="Times New Roman"/>
    </w:rPr>
  </w:style>
  <w:style w:type="paragraph" w:styleId="4">
    <w:name w:val="footer"/>
    <w:basedOn w:val="1"/>
    <w:link w:val="15"/>
    <w:uiPriority w:val="99"/>
    <w:pPr>
      <w:tabs>
        <w:tab w:val="center" w:pos="4153"/>
        <w:tab w:val="right" w:pos="8306"/>
      </w:tabs>
      <w:snapToGrid w:val="0"/>
      <w:jc w:val="left"/>
    </w:pPr>
    <w:rPr>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page number"/>
    <w:basedOn w:val="8"/>
    <w:uiPriority w:val="99"/>
    <w:rPr>
      <w:rFonts w:cs="Times New Roman"/>
    </w:rPr>
  </w:style>
  <w:style w:type="character" w:customStyle="1" w:styleId="11">
    <w:name w:val="Body Text Indent Char"/>
    <w:basedOn w:val="8"/>
    <w:link w:val="3"/>
    <w:semiHidden/>
    <w:qFormat/>
    <w:uiPriority w:val="99"/>
    <w:rPr>
      <w:rFonts w:ascii="Calibri" w:hAnsi="Calibri"/>
      <w:szCs w:val="24"/>
    </w:rPr>
  </w:style>
  <w:style w:type="character" w:customStyle="1" w:styleId="12">
    <w:name w:val="Body Text First Indent 2 Char"/>
    <w:basedOn w:val="11"/>
    <w:link w:val="2"/>
    <w:semiHidden/>
    <w:uiPriority w:val="99"/>
  </w:style>
  <w:style w:type="paragraph" w:customStyle="1" w:styleId="13">
    <w:name w:val="Table Paragraph"/>
    <w:basedOn w:val="1"/>
    <w:uiPriority w:val="99"/>
  </w:style>
  <w:style w:type="character" w:customStyle="1" w:styleId="14">
    <w:name w:val="Header Char"/>
    <w:basedOn w:val="8"/>
    <w:link w:val="5"/>
    <w:semiHidden/>
    <w:uiPriority w:val="99"/>
    <w:rPr>
      <w:rFonts w:ascii="Calibri" w:hAnsi="Calibri"/>
      <w:sz w:val="18"/>
      <w:szCs w:val="18"/>
    </w:rPr>
  </w:style>
  <w:style w:type="character" w:customStyle="1" w:styleId="15">
    <w:name w:val="Footer Char"/>
    <w:basedOn w:val="8"/>
    <w:link w:val="4"/>
    <w:semiHidden/>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884</Words>
  <Characters>5044</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2020-11-13T07:10:00Z</dcterms:created>
  <dc:creator>Administrator</dc:creator>
  <cp:lastModifiedBy>Administrator</cp:lastModifiedBy>
  <cp:lastPrinted>2020-11-13T08:48:01Z</cp:lastPrinted>
  <dcterms:modified xsi:type="dcterms:W3CDTF">2020-11-13T09:03:48Z</dcterms:modified>
  <dc:title>关于《江岸区推进国家“双创”示范基地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