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olors1.xml" ContentType="application/vnd.ms-office.chartcolorstyle+xml"/>
  <Override PartName="/word/charts/colors2.xml" ContentType="application/vnd.ms-office.chartcolorstyle+xml"/>
  <Override PartName="/word/charts/colors3.xml" ContentType="application/vnd.ms-office.chartcolorstyle+xml"/>
  <Override PartName="/word/charts/style1.xml" ContentType="application/vnd.ms-office.chartstyle+xml"/>
  <Override PartName="/word/charts/style2.xml" ContentType="application/vnd.ms-office.chartstyle+xml"/>
  <Override PartName="/word/charts/style3.xml" ContentType="application/vnd.ms-office.chartstyle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029F639">
      <w:pPr>
        <w:spacing w:line="250" w:lineRule="auto"/>
        <w:jc w:val="both"/>
        <w:rPr>
          <w:rFonts w:ascii="Arial"/>
          <w:sz w:val="21"/>
        </w:rPr>
      </w:pPr>
    </w:p>
    <w:p w14:paraId="573F3894">
      <w:pPr>
        <w:spacing w:line="250" w:lineRule="auto"/>
        <w:jc w:val="both"/>
        <w:rPr>
          <w:rFonts w:ascii="Arial"/>
          <w:sz w:val="21"/>
        </w:rPr>
      </w:pPr>
    </w:p>
    <w:p w14:paraId="2A61EDA9">
      <w:pPr>
        <w:spacing w:line="250" w:lineRule="auto"/>
        <w:jc w:val="both"/>
        <w:rPr>
          <w:rFonts w:ascii="Arial"/>
          <w:sz w:val="21"/>
        </w:rPr>
      </w:pPr>
    </w:p>
    <w:p w14:paraId="5290E959">
      <w:pPr>
        <w:spacing w:line="250" w:lineRule="auto"/>
        <w:jc w:val="both"/>
        <w:rPr>
          <w:rFonts w:ascii="Arial"/>
          <w:sz w:val="21"/>
        </w:rPr>
      </w:pPr>
    </w:p>
    <w:p w14:paraId="03AF4900">
      <w:pPr>
        <w:spacing w:line="250" w:lineRule="auto"/>
        <w:jc w:val="both"/>
        <w:rPr>
          <w:rFonts w:ascii="Arial"/>
          <w:sz w:val="21"/>
        </w:rPr>
      </w:pPr>
    </w:p>
    <w:p w14:paraId="18844285">
      <w:pPr>
        <w:spacing w:line="251" w:lineRule="auto"/>
        <w:jc w:val="both"/>
        <w:rPr>
          <w:rFonts w:ascii="Arial"/>
          <w:sz w:val="21"/>
        </w:rPr>
      </w:pPr>
    </w:p>
    <w:p w14:paraId="06B98C2F">
      <w:pPr>
        <w:spacing w:line="251" w:lineRule="auto"/>
        <w:jc w:val="both"/>
        <w:rPr>
          <w:rFonts w:ascii="Arial"/>
          <w:sz w:val="21"/>
        </w:rPr>
      </w:pPr>
    </w:p>
    <w:p w14:paraId="5A21E90B">
      <w:pPr>
        <w:spacing w:line="251" w:lineRule="auto"/>
        <w:jc w:val="both"/>
        <w:rPr>
          <w:rFonts w:ascii="Arial"/>
          <w:sz w:val="21"/>
        </w:rPr>
      </w:pPr>
    </w:p>
    <w:p w14:paraId="34043BFB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56" w:line="221" w:lineRule="auto"/>
        <w:ind w:right="0"/>
        <w:jc w:val="center"/>
        <w:textAlignment w:val="baseline"/>
        <w:rPr>
          <w:rFonts w:hint="eastAsia" w:ascii="黑体" w:hAnsi="黑体" w:eastAsia="黑体" w:cs="黑体"/>
          <w:spacing w:val="-2"/>
          <w:sz w:val="48"/>
          <w:szCs w:val="48"/>
          <w:u w:val="single" w:color="auto"/>
          <w:lang w:eastAsia="zh-CN"/>
        </w:rPr>
      </w:pPr>
      <w:r>
        <w:rPr>
          <w:rFonts w:ascii="黑体" w:hAnsi="黑体" w:eastAsia="黑体" w:cs="黑体"/>
          <w:spacing w:val="-2"/>
          <w:sz w:val="48"/>
          <w:szCs w:val="48"/>
        </w:rPr>
        <w:t>202</w:t>
      </w:r>
      <w:r>
        <w:rPr>
          <w:rFonts w:hint="eastAsia" w:ascii="黑体" w:hAnsi="黑体" w:eastAsia="黑体" w:cs="黑体"/>
          <w:spacing w:val="-2"/>
          <w:sz w:val="48"/>
          <w:szCs w:val="48"/>
          <w:lang w:val="en-US" w:eastAsia="zh-CN"/>
        </w:rPr>
        <w:t>3年度</w:t>
      </w:r>
      <w:r>
        <w:rPr>
          <w:rFonts w:hint="eastAsia" w:ascii="黑体" w:hAnsi="黑体" w:eastAsia="黑体" w:cs="黑体"/>
          <w:spacing w:val="-2"/>
          <w:sz w:val="48"/>
          <w:szCs w:val="48"/>
          <w:u w:val="single"/>
          <w:lang w:val="en-US" w:eastAsia="zh-CN"/>
        </w:rPr>
        <w:t>武</w:t>
      </w:r>
      <w:r>
        <w:rPr>
          <w:rFonts w:hint="eastAsia" w:ascii="黑体" w:hAnsi="黑体" w:eastAsia="黑体" w:cs="黑体"/>
          <w:spacing w:val="-2"/>
          <w:sz w:val="48"/>
          <w:szCs w:val="48"/>
          <w:u w:val="single" w:color="auto"/>
          <w:lang w:eastAsia="zh-CN"/>
        </w:rPr>
        <w:t>汉市江岸区消防救援大队</w:t>
      </w:r>
    </w:p>
    <w:p w14:paraId="72074CF5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56" w:line="221" w:lineRule="auto"/>
        <w:ind w:right="0"/>
        <w:jc w:val="center"/>
        <w:textAlignment w:val="baseline"/>
        <w:rPr>
          <w:rFonts w:ascii="黑体" w:hAnsi="黑体" w:eastAsia="黑体" w:cs="黑体"/>
          <w:spacing w:val="-2"/>
          <w:sz w:val="48"/>
          <w:szCs w:val="48"/>
        </w:rPr>
      </w:pPr>
      <w:r>
        <w:rPr>
          <w:rFonts w:ascii="黑体" w:hAnsi="黑体" w:eastAsia="黑体" w:cs="黑体"/>
          <w:spacing w:val="-2"/>
          <w:sz w:val="48"/>
          <w:szCs w:val="48"/>
        </w:rPr>
        <w:t>部门决算公开</w:t>
      </w:r>
    </w:p>
    <w:p w14:paraId="5D3DDAEC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56" w:line="221" w:lineRule="auto"/>
        <w:ind w:right="0"/>
        <w:jc w:val="both"/>
        <w:textAlignment w:val="baseline"/>
        <w:rPr>
          <w:rFonts w:ascii="黑体" w:hAnsi="黑体" w:eastAsia="黑体" w:cs="黑体"/>
          <w:spacing w:val="-2"/>
          <w:sz w:val="48"/>
          <w:szCs w:val="48"/>
        </w:rPr>
      </w:pPr>
    </w:p>
    <w:p w14:paraId="29B441BA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56" w:line="221" w:lineRule="auto"/>
        <w:ind w:right="0"/>
        <w:jc w:val="both"/>
        <w:textAlignment w:val="baseline"/>
        <w:rPr>
          <w:rFonts w:ascii="黑体" w:hAnsi="黑体" w:eastAsia="黑体" w:cs="黑体"/>
          <w:spacing w:val="-2"/>
          <w:sz w:val="48"/>
          <w:szCs w:val="48"/>
        </w:rPr>
      </w:pPr>
    </w:p>
    <w:p w14:paraId="38383BEB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56" w:line="221" w:lineRule="auto"/>
        <w:ind w:right="0"/>
        <w:jc w:val="both"/>
        <w:textAlignment w:val="baseline"/>
        <w:rPr>
          <w:rFonts w:ascii="黑体" w:hAnsi="黑体" w:eastAsia="黑体" w:cs="黑体"/>
          <w:spacing w:val="-2"/>
          <w:sz w:val="48"/>
          <w:szCs w:val="48"/>
        </w:rPr>
      </w:pPr>
    </w:p>
    <w:p w14:paraId="63B822D0">
      <w:pPr>
        <w:spacing w:line="241" w:lineRule="auto"/>
        <w:jc w:val="both"/>
        <w:rPr>
          <w:rFonts w:ascii="Arial"/>
          <w:sz w:val="21"/>
        </w:rPr>
      </w:pPr>
    </w:p>
    <w:p w14:paraId="7B16C21A">
      <w:pPr>
        <w:pStyle w:val="2"/>
        <w:spacing w:before="104" w:line="224" w:lineRule="auto"/>
        <w:ind w:left="3167"/>
        <w:jc w:val="both"/>
      </w:pPr>
    </w:p>
    <w:p w14:paraId="2F519EBB">
      <w:pPr>
        <w:spacing w:line="224" w:lineRule="auto"/>
        <w:jc w:val="both"/>
        <w:sectPr>
          <w:pgSz w:w="11900" w:h="16840"/>
          <w:pgMar w:top="1431" w:right="1785" w:bottom="1717" w:left="1561" w:header="0" w:footer="1468" w:gutter="0"/>
          <w:cols w:space="720" w:num="1"/>
        </w:sectPr>
      </w:pPr>
    </w:p>
    <w:p w14:paraId="1943E6CF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43" w:line="560" w:lineRule="exact"/>
        <w:ind w:left="3361"/>
        <w:jc w:val="both"/>
        <w:textAlignment w:val="baseline"/>
        <w:outlineLvl w:val="0"/>
        <w:rPr>
          <w:rFonts w:ascii="黑体" w:hAnsi="黑体" w:eastAsia="黑体" w:cs="黑体"/>
          <w:sz w:val="44"/>
          <w:szCs w:val="44"/>
        </w:rPr>
      </w:pPr>
      <w:r>
        <w:rPr>
          <w:rFonts w:ascii="黑体" w:hAnsi="黑体" w:eastAsia="黑体" w:cs="黑体"/>
          <w:spacing w:val="-36"/>
          <w:sz w:val="44"/>
          <w:szCs w:val="44"/>
        </w:rPr>
        <w:t>目录</w:t>
      </w:r>
    </w:p>
    <w:p w14:paraId="061BF26D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jc w:val="both"/>
        <w:textAlignment w:val="baseline"/>
        <w:rPr>
          <w:rFonts w:ascii="Arial"/>
          <w:sz w:val="21"/>
        </w:rPr>
      </w:pPr>
    </w:p>
    <w:p w14:paraId="2516FE55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jc w:val="both"/>
        <w:textAlignment w:val="baseline"/>
        <w:rPr>
          <w:rFonts w:ascii="Arial"/>
          <w:sz w:val="21"/>
        </w:rPr>
      </w:pPr>
    </w:p>
    <w:p w14:paraId="2DF781B0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04" w:line="560" w:lineRule="exact"/>
        <w:ind w:left="397"/>
        <w:jc w:val="both"/>
        <w:textAlignment w:val="baseline"/>
        <w:rPr>
          <w:rFonts w:ascii="黑体" w:hAnsi="黑体" w:eastAsia="黑体" w:cs="黑体"/>
          <w:sz w:val="32"/>
          <w:szCs w:val="32"/>
        </w:rPr>
      </w:pPr>
      <w:r>
        <w:rPr>
          <w:rFonts w:ascii="黑体" w:hAnsi="黑体" w:eastAsia="黑体" w:cs="黑体"/>
          <w:spacing w:val="-3"/>
          <w:sz w:val="32"/>
          <w:szCs w:val="32"/>
        </w:rPr>
        <w:t>第一部分</w:t>
      </w:r>
      <w:r>
        <w:rPr>
          <w:rFonts w:hint="eastAsia" w:ascii="黑体" w:hAnsi="黑体" w:eastAsia="黑体" w:cs="黑体"/>
          <w:spacing w:val="-3"/>
          <w:sz w:val="32"/>
          <w:szCs w:val="32"/>
          <w:u w:val="single"/>
          <w:lang w:val="en-US" w:eastAsia="zh-CN"/>
        </w:rPr>
        <w:t>武</w:t>
      </w:r>
      <w:r>
        <w:rPr>
          <w:rFonts w:hint="eastAsia" w:ascii="黑体" w:hAnsi="黑体" w:eastAsia="黑体" w:cs="黑体"/>
          <w:spacing w:val="-3"/>
          <w:sz w:val="32"/>
          <w:szCs w:val="32"/>
          <w:u w:val="single" w:color="auto"/>
        </w:rPr>
        <w:t>汉市江岸区消防救援大队</w:t>
      </w:r>
      <w:r>
        <w:rPr>
          <w:rFonts w:ascii="黑体" w:hAnsi="黑体" w:eastAsia="黑体" w:cs="黑体"/>
          <w:spacing w:val="-3"/>
          <w:sz w:val="32"/>
          <w:szCs w:val="32"/>
        </w:rPr>
        <w:t>概况</w:t>
      </w:r>
    </w:p>
    <w:p w14:paraId="3215E3ED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96" w:line="560" w:lineRule="exact"/>
        <w:ind w:left="417"/>
        <w:jc w:val="both"/>
        <w:textAlignment w:val="baseline"/>
        <w:rPr>
          <w:rFonts w:hint="eastAsia" w:ascii="方正仿宋_GBK" w:hAnsi="方正仿宋_GBK" w:eastAsia="方正仿宋_GBK" w:cs="方正仿宋_GBK"/>
        </w:rPr>
      </w:pPr>
      <w:r>
        <w:rPr>
          <w:rFonts w:hint="eastAsia" w:ascii="方正仿宋_GBK" w:hAnsi="方正仿宋_GBK" w:eastAsia="方正仿宋_GBK" w:cs="方正仿宋_GBK"/>
          <w:spacing w:val="-4"/>
        </w:rPr>
        <w:t>一、部门主要职责</w:t>
      </w:r>
    </w:p>
    <w:p w14:paraId="16166C14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204" w:line="560" w:lineRule="exact"/>
        <w:ind w:left="414"/>
        <w:jc w:val="both"/>
        <w:textAlignment w:val="baseline"/>
      </w:pPr>
      <w:r>
        <w:rPr>
          <w:rFonts w:hint="eastAsia" w:ascii="方正仿宋_GBK" w:hAnsi="方正仿宋_GBK" w:eastAsia="方正仿宋_GBK" w:cs="方正仿宋_GBK"/>
          <w:spacing w:val="-4"/>
        </w:rPr>
        <w:t>二、机构设置情况</w:t>
      </w:r>
    </w:p>
    <w:p w14:paraId="7D256120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200" w:line="560" w:lineRule="exact"/>
        <w:ind w:left="397"/>
        <w:jc w:val="both"/>
        <w:textAlignment w:val="baseline"/>
        <w:rPr>
          <w:rFonts w:ascii="黑体" w:hAnsi="黑体" w:eastAsia="黑体" w:cs="黑体"/>
          <w:sz w:val="32"/>
          <w:szCs w:val="32"/>
        </w:rPr>
      </w:pPr>
      <w:r>
        <w:rPr>
          <w:rFonts w:ascii="黑体" w:hAnsi="黑体" w:eastAsia="黑体" w:cs="黑体"/>
          <w:spacing w:val="-3"/>
          <w:sz w:val="32"/>
          <w:szCs w:val="32"/>
        </w:rPr>
        <w:t>第二部分</w:t>
      </w:r>
      <w:r>
        <w:rPr>
          <w:rFonts w:hint="eastAsia" w:ascii="黑体" w:hAnsi="黑体" w:eastAsia="黑体" w:cs="黑体"/>
          <w:spacing w:val="-3"/>
          <w:sz w:val="32"/>
          <w:szCs w:val="32"/>
          <w:u w:val="single"/>
          <w:lang w:val="en-US" w:eastAsia="zh-CN"/>
        </w:rPr>
        <w:t>武</w:t>
      </w:r>
      <w:r>
        <w:rPr>
          <w:rFonts w:hint="eastAsia" w:ascii="黑体" w:hAnsi="黑体" w:eastAsia="黑体" w:cs="黑体"/>
          <w:spacing w:val="-3"/>
          <w:sz w:val="32"/>
          <w:szCs w:val="32"/>
          <w:u w:val="single" w:color="auto"/>
        </w:rPr>
        <w:t>汉市江岸区消防救援大队</w:t>
      </w:r>
      <w:r>
        <w:rPr>
          <w:rFonts w:hint="eastAsia" w:ascii="黑体" w:hAnsi="黑体" w:eastAsia="黑体" w:cs="黑体"/>
          <w:spacing w:val="-3"/>
          <w:sz w:val="32"/>
          <w:szCs w:val="32"/>
          <w:lang w:val="en-US" w:eastAsia="zh-CN"/>
        </w:rPr>
        <w:t>2023年</w:t>
      </w:r>
      <w:r>
        <w:rPr>
          <w:rFonts w:ascii="黑体" w:hAnsi="黑体" w:eastAsia="黑体" w:cs="黑体"/>
          <w:spacing w:val="-3"/>
          <w:sz w:val="32"/>
          <w:szCs w:val="32"/>
        </w:rPr>
        <w:t>度部门决算表</w:t>
      </w:r>
    </w:p>
    <w:p w14:paraId="082217C9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88" w:line="560" w:lineRule="exact"/>
        <w:ind w:left="417"/>
        <w:jc w:val="both"/>
        <w:textAlignment w:val="baseline"/>
        <w:rPr>
          <w:rFonts w:hint="eastAsia" w:ascii="方正仿宋_GBK" w:hAnsi="方正仿宋_GBK" w:eastAsia="方正仿宋_GBK" w:cs="方正仿宋_GBK"/>
        </w:rPr>
      </w:pPr>
      <w:r>
        <w:rPr>
          <w:rFonts w:hint="eastAsia" w:ascii="方正仿宋_GBK" w:hAnsi="方正仿宋_GBK" w:eastAsia="方正仿宋_GBK" w:cs="方正仿宋_GBK"/>
          <w:spacing w:val="-3"/>
        </w:rPr>
        <w:t>一、收入支出决算总表</w:t>
      </w:r>
    </w:p>
    <w:p w14:paraId="50CF7BE5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206" w:line="560" w:lineRule="exact"/>
        <w:ind w:left="414"/>
        <w:jc w:val="both"/>
        <w:textAlignment w:val="baseline"/>
        <w:rPr>
          <w:rFonts w:hint="eastAsia" w:ascii="方正仿宋_GBK" w:hAnsi="方正仿宋_GBK" w:eastAsia="方正仿宋_GBK" w:cs="方正仿宋_GBK"/>
        </w:rPr>
      </w:pPr>
      <w:r>
        <w:rPr>
          <w:rFonts w:hint="eastAsia" w:ascii="方正仿宋_GBK" w:hAnsi="方正仿宋_GBK" w:eastAsia="方正仿宋_GBK" w:cs="方正仿宋_GBK"/>
          <w:spacing w:val="-4"/>
        </w:rPr>
        <w:t>二、收入决算表</w:t>
      </w:r>
    </w:p>
    <w:p w14:paraId="14956843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200" w:line="560" w:lineRule="exact"/>
        <w:ind w:left="420"/>
        <w:jc w:val="both"/>
        <w:textAlignment w:val="baseline"/>
        <w:rPr>
          <w:rFonts w:hint="eastAsia" w:ascii="方正仿宋_GBK" w:hAnsi="方正仿宋_GBK" w:eastAsia="方正仿宋_GBK" w:cs="方正仿宋_GBK"/>
        </w:rPr>
      </w:pPr>
      <w:r>
        <w:rPr>
          <w:rFonts w:hint="eastAsia" w:ascii="方正仿宋_GBK" w:hAnsi="方正仿宋_GBK" w:eastAsia="方正仿宋_GBK" w:cs="方正仿宋_GBK"/>
          <w:spacing w:val="-5"/>
        </w:rPr>
        <w:t>三、支出决算表</w:t>
      </w:r>
    </w:p>
    <w:p w14:paraId="66839C98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99" w:line="560" w:lineRule="exact"/>
        <w:ind w:left="434"/>
        <w:jc w:val="both"/>
        <w:textAlignment w:val="baseline"/>
        <w:rPr>
          <w:rFonts w:hint="eastAsia" w:ascii="方正仿宋_GBK" w:hAnsi="方正仿宋_GBK" w:eastAsia="方正仿宋_GBK" w:cs="方正仿宋_GBK"/>
        </w:rPr>
      </w:pPr>
      <w:r>
        <w:rPr>
          <w:rFonts w:hint="eastAsia" w:ascii="方正仿宋_GBK" w:hAnsi="方正仿宋_GBK" w:eastAsia="方正仿宋_GBK" w:cs="方正仿宋_GBK"/>
          <w:spacing w:val="-3"/>
        </w:rPr>
        <w:t>四、财政拨款收入支出决算总表</w:t>
      </w:r>
    </w:p>
    <w:p w14:paraId="5E307247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200" w:line="560" w:lineRule="exact"/>
        <w:ind w:left="408"/>
        <w:jc w:val="both"/>
        <w:textAlignment w:val="baseline"/>
        <w:rPr>
          <w:rFonts w:hint="eastAsia" w:ascii="方正仿宋_GBK" w:hAnsi="方正仿宋_GBK" w:eastAsia="方正仿宋_GBK" w:cs="方正仿宋_GBK"/>
        </w:rPr>
      </w:pPr>
      <w:r>
        <w:rPr>
          <w:rFonts w:hint="eastAsia" w:ascii="方正仿宋_GBK" w:hAnsi="方正仿宋_GBK" w:eastAsia="方正仿宋_GBK" w:cs="方正仿宋_GBK"/>
          <w:spacing w:val="-1"/>
        </w:rPr>
        <w:t>五、一般公共预算财政拨款支出决算表</w:t>
      </w:r>
    </w:p>
    <w:p w14:paraId="2AB9496E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202" w:line="560" w:lineRule="exact"/>
        <w:ind w:left="411"/>
        <w:jc w:val="both"/>
        <w:textAlignment w:val="baseline"/>
        <w:rPr>
          <w:rFonts w:hint="eastAsia" w:ascii="方正仿宋_GBK" w:hAnsi="方正仿宋_GBK" w:eastAsia="方正仿宋_GBK" w:cs="方正仿宋_GBK"/>
        </w:rPr>
      </w:pPr>
      <w:r>
        <w:rPr>
          <w:rFonts w:hint="eastAsia" w:ascii="方正仿宋_GBK" w:hAnsi="方正仿宋_GBK" w:eastAsia="方正仿宋_GBK" w:cs="方正仿宋_GBK"/>
          <w:spacing w:val="-1"/>
        </w:rPr>
        <w:t>六、一般公共预算财政拨款基本支出决算明细表</w:t>
      </w:r>
    </w:p>
    <w:p w14:paraId="68F288E9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96" w:line="560" w:lineRule="exact"/>
        <w:ind w:left="404"/>
        <w:jc w:val="both"/>
        <w:textAlignment w:val="baseline"/>
        <w:rPr>
          <w:rFonts w:hint="eastAsia" w:ascii="方正仿宋_GBK" w:hAnsi="方正仿宋_GBK" w:eastAsia="方正仿宋_GBK" w:cs="方正仿宋_GBK"/>
        </w:rPr>
      </w:pPr>
      <w:r>
        <w:rPr>
          <w:rFonts w:hint="eastAsia" w:ascii="方正仿宋_GBK" w:hAnsi="方正仿宋_GBK" w:eastAsia="方正仿宋_GBK" w:cs="方正仿宋_GBK"/>
          <w:spacing w:val="-1"/>
        </w:rPr>
        <w:t>七、政府性基金预算财政拨款收入支出决算表</w:t>
      </w:r>
    </w:p>
    <w:p w14:paraId="327C0DB5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202" w:line="560" w:lineRule="exact"/>
        <w:ind w:left="403"/>
        <w:jc w:val="both"/>
        <w:textAlignment w:val="baseline"/>
        <w:rPr>
          <w:rFonts w:hint="eastAsia" w:ascii="方正仿宋_GBK" w:hAnsi="方正仿宋_GBK" w:eastAsia="方正仿宋_GBK" w:cs="方正仿宋_GBK"/>
        </w:rPr>
      </w:pPr>
      <w:r>
        <w:rPr>
          <w:rFonts w:hint="eastAsia" w:ascii="方正仿宋_GBK" w:hAnsi="方正仿宋_GBK" w:eastAsia="方正仿宋_GBK" w:cs="方正仿宋_GBK"/>
          <w:spacing w:val="-1"/>
        </w:rPr>
        <w:t>八、国有资本经营预算财政拨款支出决算表</w:t>
      </w:r>
    </w:p>
    <w:p w14:paraId="44E76054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99" w:line="560" w:lineRule="exact"/>
        <w:ind w:left="401"/>
        <w:jc w:val="both"/>
        <w:textAlignment w:val="baseline"/>
        <w:rPr>
          <w:rFonts w:hint="eastAsia" w:ascii="方正仿宋_GBK" w:hAnsi="方正仿宋_GBK" w:eastAsia="方正仿宋_GBK" w:cs="方正仿宋_GBK"/>
        </w:rPr>
      </w:pPr>
      <w:r>
        <w:rPr>
          <w:rFonts w:hint="eastAsia" w:ascii="方正仿宋_GBK" w:hAnsi="方正仿宋_GBK" w:eastAsia="方正仿宋_GBK" w:cs="方正仿宋_GBK"/>
          <w:spacing w:val="-6"/>
        </w:rPr>
        <w:t>九、财政</w:t>
      </w:r>
      <w:r>
        <w:rPr>
          <w:rFonts w:hint="eastAsia" w:ascii="方正仿宋_GBK" w:hAnsi="方正仿宋_GBK" w:eastAsia="方正仿宋_GBK" w:cs="方正仿宋_GBK"/>
          <w:spacing w:val="-6"/>
          <w:lang w:val="en-US" w:eastAsia="zh-CN"/>
        </w:rPr>
        <w:t>拨款“三</w:t>
      </w:r>
      <w:r>
        <w:rPr>
          <w:rFonts w:hint="eastAsia" w:ascii="方正仿宋_GBK" w:hAnsi="方正仿宋_GBK" w:eastAsia="方正仿宋_GBK" w:cs="方正仿宋_GBK"/>
          <w:spacing w:val="-6"/>
        </w:rPr>
        <w:t>公</w:t>
      </w:r>
      <w:r>
        <w:rPr>
          <w:rFonts w:hint="eastAsia" w:ascii="方正仿宋_GBK" w:hAnsi="方正仿宋_GBK" w:eastAsia="方正仿宋_GBK" w:cs="方正仿宋_GBK"/>
          <w:spacing w:val="-6"/>
          <w:lang w:val="en-US" w:eastAsia="zh-CN"/>
        </w:rPr>
        <w:t>”</w:t>
      </w:r>
      <w:r>
        <w:rPr>
          <w:rFonts w:hint="eastAsia" w:ascii="方正仿宋_GBK" w:hAnsi="方正仿宋_GBK" w:eastAsia="方正仿宋_GBK" w:cs="方正仿宋_GBK"/>
          <w:spacing w:val="-6"/>
        </w:rPr>
        <w:t>经费支出决算表</w:t>
      </w:r>
    </w:p>
    <w:p w14:paraId="737BA149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203" w:line="560" w:lineRule="exact"/>
        <w:ind w:left="397"/>
        <w:jc w:val="both"/>
        <w:textAlignment w:val="baseline"/>
        <w:rPr>
          <w:rFonts w:ascii="黑体" w:hAnsi="黑体" w:eastAsia="黑体" w:cs="黑体"/>
          <w:sz w:val="32"/>
          <w:szCs w:val="32"/>
        </w:rPr>
      </w:pPr>
      <w:r>
        <w:rPr>
          <w:rFonts w:ascii="黑体" w:hAnsi="黑体" w:eastAsia="黑体" w:cs="黑体"/>
          <w:spacing w:val="-2"/>
          <w:sz w:val="32"/>
          <w:szCs w:val="32"/>
        </w:rPr>
        <w:t>第三部分</w:t>
      </w:r>
      <w:r>
        <w:rPr>
          <w:rFonts w:hint="eastAsia" w:ascii="黑体" w:hAnsi="黑体" w:eastAsia="黑体" w:cs="黑体"/>
          <w:spacing w:val="-2"/>
          <w:sz w:val="32"/>
          <w:szCs w:val="32"/>
          <w:u w:val="single"/>
          <w:lang w:val="en-US" w:eastAsia="zh-CN"/>
        </w:rPr>
        <w:t>武汉</w:t>
      </w:r>
      <w:r>
        <w:rPr>
          <w:rFonts w:hint="eastAsia" w:ascii="黑体" w:hAnsi="黑体" w:eastAsia="黑体" w:cs="黑体"/>
          <w:spacing w:val="-2"/>
          <w:sz w:val="32"/>
          <w:szCs w:val="32"/>
          <w:u w:val="single" w:color="auto"/>
          <w:lang w:eastAsia="zh-CN"/>
        </w:rPr>
        <w:t>市江岸区消防救援大队</w:t>
      </w:r>
      <w:r>
        <w:rPr>
          <w:rFonts w:hint="eastAsia" w:ascii="黑体" w:hAnsi="黑体" w:eastAsia="黑体" w:cs="黑体"/>
          <w:spacing w:val="-2"/>
          <w:sz w:val="32"/>
          <w:szCs w:val="32"/>
          <w:u w:val="none" w:color="auto"/>
          <w:lang w:val="en-US" w:eastAsia="zh-CN"/>
        </w:rPr>
        <w:t>2023年度</w:t>
      </w:r>
      <w:r>
        <w:rPr>
          <w:rFonts w:ascii="黑体" w:hAnsi="黑体" w:eastAsia="黑体" w:cs="黑体"/>
          <w:spacing w:val="-2"/>
          <w:sz w:val="32"/>
          <w:szCs w:val="32"/>
        </w:rPr>
        <w:t>部门决算情况说明</w:t>
      </w:r>
    </w:p>
    <w:p w14:paraId="1A6CF4F9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93" w:line="560" w:lineRule="exact"/>
        <w:ind w:left="417"/>
        <w:jc w:val="both"/>
        <w:textAlignment w:val="baseline"/>
        <w:rPr>
          <w:rFonts w:hint="eastAsia" w:ascii="方正仿宋_GBK" w:hAnsi="方正仿宋_GBK" w:eastAsia="方正仿宋_GBK" w:cs="方正仿宋_GBK"/>
        </w:rPr>
      </w:pPr>
      <w:r>
        <w:rPr>
          <w:rFonts w:hint="eastAsia" w:ascii="方正仿宋_GBK" w:hAnsi="方正仿宋_GBK" w:eastAsia="方正仿宋_GBK" w:cs="方正仿宋_GBK"/>
          <w:spacing w:val="-3"/>
        </w:rPr>
        <w:t>一、收入支出决算总体情况说明</w:t>
      </w:r>
    </w:p>
    <w:p w14:paraId="60781D06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203" w:line="560" w:lineRule="exact"/>
        <w:ind w:left="414"/>
        <w:jc w:val="both"/>
        <w:textAlignment w:val="baseline"/>
        <w:rPr>
          <w:rFonts w:hint="eastAsia" w:ascii="方正仿宋_GBK" w:hAnsi="方正仿宋_GBK" w:eastAsia="方正仿宋_GBK" w:cs="方正仿宋_GBK"/>
        </w:rPr>
      </w:pPr>
      <w:r>
        <w:rPr>
          <w:rFonts w:hint="eastAsia" w:ascii="方正仿宋_GBK" w:hAnsi="方正仿宋_GBK" w:eastAsia="方正仿宋_GBK" w:cs="方正仿宋_GBK"/>
          <w:spacing w:val="-3"/>
        </w:rPr>
        <w:t>二、收入决算情况说明</w:t>
      </w:r>
    </w:p>
    <w:p w14:paraId="3638D9DF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95" w:line="560" w:lineRule="exact"/>
        <w:ind w:left="420"/>
        <w:jc w:val="both"/>
        <w:textAlignment w:val="baseline"/>
        <w:rPr>
          <w:rFonts w:hint="eastAsia" w:ascii="方正仿宋_GBK" w:hAnsi="方正仿宋_GBK" w:eastAsia="方正仿宋_GBK" w:cs="方正仿宋_GBK"/>
        </w:rPr>
      </w:pPr>
      <w:r>
        <w:rPr>
          <w:rFonts w:hint="eastAsia" w:ascii="方正仿宋_GBK" w:hAnsi="方正仿宋_GBK" w:eastAsia="方正仿宋_GBK" w:cs="方正仿宋_GBK"/>
          <w:spacing w:val="-3"/>
        </w:rPr>
        <w:t>三、支出决算情况说明</w:t>
      </w:r>
    </w:p>
    <w:p w14:paraId="3EC9F22C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203" w:line="560" w:lineRule="exact"/>
        <w:ind w:left="397"/>
        <w:jc w:val="both"/>
        <w:textAlignment w:val="baseline"/>
        <w:rPr>
          <w:rFonts w:ascii="黑体" w:hAnsi="黑体" w:eastAsia="黑体" w:cs="黑体"/>
          <w:spacing w:val="-2"/>
          <w:sz w:val="32"/>
          <w:szCs w:val="32"/>
        </w:rPr>
      </w:pPr>
      <w:r>
        <w:rPr>
          <w:rFonts w:ascii="黑体" w:hAnsi="黑体" w:eastAsia="黑体" w:cs="黑体"/>
          <w:spacing w:val="-2"/>
          <w:sz w:val="32"/>
          <w:szCs w:val="32"/>
        </w:rPr>
        <w:t>四、财政拨款收入支出决算总体情况说明</w:t>
      </w:r>
    </w:p>
    <w:p w14:paraId="1304970C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99" w:line="560" w:lineRule="exact"/>
        <w:ind w:left="408"/>
        <w:jc w:val="both"/>
        <w:textAlignment w:val="baseline"/>
        <w:rPr>
          <w:rFonts w:hint="eastAsia" w:ascii="方正仿宋_GBK" w:hAnsi="方正仿宋_GBK" w:eastAsia="方正仿宋_GBK" w:cs="方正仿宋_GBK"/>
        </w:rPr>
      </w:pPr>
      <w:r>
        <w:rPr>
          <w:rFonts w:hint="eastAsia" w:ascii="方正仿宋_GBK" w:hAnsi="方正仿宋_GBK" w:eastAsia="方正仿宋_GBK" w:cs="方正仿宋_GBK"/>
          <w:spacing w:val="-2"/>
          <w:lang w:val="en-US" w:eastAsia="zh-CN"/>
        </w:rPr>
        <w:t>一</w:t>
      </w:r>
      <w:r>
        <w:rPr>
          <w:rFonts w:hint="eastAsia" w:ascii="方正仿宋_GBK" w:hAnsi="方正仿宋_GBK" w:eastAsia="方正仿宋_GBK" w:cs="方正仿宋_GBK"/>
          <w:spacing w:val="-2"/>
        </w:rPr>
        <w:t>、一般公共预算财政拨款支出决算情况说明</w:t>
      </w:r>
    </w:p>
    <w:p w14:paraId="068300DB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04" w:line="560" w:lineRule="exact"/>
        <w:ind w:left="404"/>
        <w:jc w:val="both"/>
        <w:textAlignment w:val="baseline"/>
        <w:rPr>
          <w:rFonts w:hint="eastAsia" w:ascii="方正仿宋_GBK" w:hAnsi="方正仿宋_GBK" w:eastAsia="方正仿宋_GBK" w:cs="方正仿宋_GBK"/>
          <w:spacing w:val="-1"/>
        </w:rPr>
      </w:pPr>
      <w:r>
        <w:rPr>
          <w:rFonts w:hint="eastAsia" w:ascii="方正仿宋_GBK" w:hAnsi="方正仿宋_GBK" w:eastAsia="方正仿宋_GBK" w:cs="方正仿宋_GBK"/>
          <w:spacing w:val="-1"/>
          <w:lang w:val="en-US" w:eastAsia="zh-CN"/>
        </w:rPr>
        <w:t>二</w:t>
      </w:r>
      <w:r>
        <w:rPr>
          <w:rFonts w:hint="eastAsia" w:ascii="方正仿宋_GBK" w:hAnsi="方正仿宋_GBK" w:eastAsia="方正仿宋_GBK" w:cs="方正仿宋_GBK"/>
          <w:spacing w:val="-1"/>
        </w:rPr>
        <w:t>、一般公共预算财政拨款基本支出决算情况说明</w:t>
      </w:r>
    </w:p>
    <w:p w14:paraId="249ADAB3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04" w:line="560" w:lineRule="exact"/>
        <w:ind w:left="404"/>
        <w:jc w:val="both"/>
        <w:textAlignment w:val="baseline"/>
        <w:rPr>
          <w:rFonts w:hint="eastAsia" w:ascii="方正仿宋_GBK" w:hAnsi="方正仿宋_GBK" w:eastAsia="方正仿宋_GBK" w:cs="方正仿宋_GBK"/>
        </w:rPr>
      </w:pPr>
      <w:r>
        <w:rPr>
          <w:rFonts w:hint="eastAsia" w:ascii="方正仿宋_GBK" w:hAnsi="方正仿宋_GBK" w:eastAsia="方正仿宋_GBK" w:cs="方正仿宋_GBK"/>
          <w:spacing w:val="-1"/>
          <w:lang w:val="en-US" w:eastAsia="zh-CN"/>
        </w:rPr>
        <w:t>三</w:t>
      </w:r>
      <w:r>
        <w:rPr>
          <w:rFonts w:hint="eastAsia" w:ascii="方正仿宋_GBK" w:hAnsi="方正仿宋_GBK" w:eastAsia="方正仿宋_GBK" w:cs="方正仿宋_GBK"/>
          <w:spacing w:val="-1"/>
        </w:rPr>
        <w:t>、政府性基金预算财政拨款收入支出决算情况说明</w:t>
      </w:r>
    </w:p>
    <w:p w14:paraId="5B00959C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201" w:line="560" w:lineRule="exact"/>
        <w:ind w:left="403"/>
        <w:jc w:val="both"/>
        <w:textAlignment w:val="baseline"/>
        <w:rPr>
          <w:rFonts w:hint="eastAsia" w:ascii="方正仿宋_GBK" w:hAnsi="方正仿宋_GBK" w:eastAsia="方正仿宋_GBK" w:cs="方正仿宋_GBK"/>
        </w:rPr>
      </w:pPr>
      <w:r>
        <w:rPr>
          <w:rFonts w:hint="eastAsia" w:ascii="方正仿宋_GBK" w:hAnsi="方正仿宋_GBK" w:eastAsia="方正仿宋_GBK" w:cs="方正仿宋_GBK"/>
          <w:spacing w:val="-1"/>
          <w:lang w:val="en-US" w:eastAsia="zh-CN"/>
        </w:rPr>
        <w:t>四</w:t>
      </w:r>
      <w:r>
        <w:rPr>
          <w:rFonts w:hint="eastAsia" w:ascii="方正仿宋_GBK" w:hAnsi="方正仿宋_GBK" w:eastAsia="方正仿宋_GBK" w:cs="方正仿宋_GBK"/>
          <w:spacing w:val="-1"/>
        </w:rPr>
        <w:t>、国有资本经营预算财政拨款支出决算情况说明</w:t>
      </w:r>
    </w:p>
    <w:p w14:paraId="70126E43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99" w:line="560" w:lineRule="exact"/>
        <w:ind w:left="401"/>
        <w:jc w:val="both"/>
        <w:textAlignment w:val="baseline"/>
        <w:rPr>
          <w:rFonts w:hint="eastAsia" w:ascii="方正仿宋_GBK" w:hAnsi="方正仿宋_GBK" w:eastAsia="方正仿宋_GBK" w:cs="方正仿宋_GBK"/>
        </w:rPr>
      </w:pPr>
      <w:r>
        <w:rPr>
          <w:rFonts w:hint="eastAsia" w:ascii="方正仿宋_GBK" w:hAnsi="方正仿宋_GBK" w:eastAsia="方正仿宋_GBK" w:cs="方正仿宋_GBK"/>
          <w:spacing w:val="-5"/>
          <w:lang w:val="en-US" w:eastAsia="zh-CN"/>
        </w:rPr>
        <w:t>五</w:t>
      </w:r>
      <w:r>
        <w:rPr>
          <w:rFonts w:hint="eastAsia" w:ascii="方正仿宋_GBK" w:hAnsi="方正仿宋_GBK" w:eastAsia="方正仿宋_GBK" w:cs="方正仿宋_GBK"/>
          <w:spacing w:val="-5"/>
        </w:rPr>
        <w:t>、</w:t>
      </w:r>
      <w:r>
        <w:rPr>
          <w:rFonts w:hint="eastAsia" w:ascii="方正仿宋_GBK" w:hAnsi="方正仿宋_GBK" w:eastAsia="方正仿宋_GBK" w:cs="方正仿宋_GBK"/>
          <w:spacing w:val="-6"/>
        </w:rPr>
        <w:t>财政</w:t>
      </w:r>
      <w:r>
        <w:rPr>
          <w:rFonts w:hint="eastAsia" w:ascii="方正仿宋_GBK" w:hAnsi="方正仿宋_GBK" w:eastAsia="方正仿宋_GBK" w:cs="方正仿宋_GBK"/>
          <w:spacing w:val="-6"/>
          <w:lang w:val="en-US" w:eastAsia="zh-CN"/>
        </w:rPr>
        <w:t>拨款“三</w:t>
      </w:r>
      <w:r>
        <w:rPr>
          <w:rFonts w:hint="eastAsia" w:ascii="方正仿宋_GBK" w:hAnsi="方正仿宋_GBK" w:eastAsia="方正仿宋_GBK" w:cs="方正仿宋_GBK"/>
          <w:spacing w:val="-6"/>
        </w:rPr>
        <w:t>公</w:t>
      </w:r>
      <w:r>
        <w:rPr>
          <w:rFonts w:hint="eastAsia" w:ascii="方正仿宋_GBK" w:hAnsi="方正仿宋_GBK" w:eastAsia="方正仿宋_GBK" w:cs="方正仿宋_GBK"/>
          <w:spacing w:val="-6"/>
          <w:lang w:val="en-US" w:eastAsia="zh-CN"/>
        </w:rPr>
        <w:t>”</w:t>
      </w:r>
      <w:r>
        <w:rPr>
          <w:rFonts w:hint="eastAsia" w:ascii="方正仿宋_GBK" w:hAnsi="方正仿宋_GBK" w:eastAsia="方正仿宋_GBK" w:cs="方正仿宋_GBK"/>
          <w:spacing w:val="-5"/>
        </w:rPr>
        <w:t>经费支出决算情况说明</w:t>
      </w:r>
    </w:p>
    <w:p w14:paraId="1DA1C97F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200" w:line="560" w:lineRule="exact"/>
        <w:ind w:left="411"/>
        <w:jc w:val="both"/>
        <w:textAlignment w:val="baseline"/>
        <w:rPr>
          <w:rFonts w:hint="eastAsia" w:ascii="方正仿宋_GBK" w:hAnsi="方正仿宋_GBK" w:eastAsia="方正仿宋_GBK" w:cs="方正仿宋_GBK"/>
        </w:rPr>
      </w:pPr>
      <w:r>
        <w:rPr>
          <w:rFonts w:hint="eastAsia" w:ascii="方正仿宋_GBK" w:hAnsi="方正仿宋_GBK" w:eastAsia="方正仿宋_GBK" w:cs="方正仿宋_GBK"/>
          <w:spacing w:val="-2"/>
          <w:lang w:val="en-US" w:eastAsia="zh-CN"/>
        </w:rPr>
        <w:t>六</w:t>
      </w:r>
      <w:r>
        <w:rPr>
          <w:rFonts w:hint="eastAsia" w:ascii="方正仿宋_GBK" w:hAnsi="方正仿宋_GBK" w:eastAsia="方正仿宋_GBK" w:cs="方正仿宋_GBK"/>
          <w:spacing w:val="-2"/>
        </w:rPr>
        <w:t>、机关运行经费支出说明</w:t>
      </w:r>
    </w:p>
    <w:p w14:paraId="7FFBED63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97" w:line="560" w:lineRule="exact"/>
        <w:ind w:left="411"/>
        <w:jc w:val="both"/>
        <w:textAlignment w:val="baseline"/>
        <w:rPr>
          <w:rFonts w:hint="eastAsia" w:ascii="方正仿宋_GBK" w:hAnsi="方正仿宋_GBK" w:eastAsia="方正仿宋_GBK" w:cs="方正仿宋_GBK"/>
        </w:rPr>
      </w:pPr>
      <w:r>
        <w:rPr>
          <w:rFonts w:hint="eastAsia" w:ascii="方正仿宋_GBK" w:hAnsi="方正仿宋_GBK" w:eastAsia="方正仿宋_GBK" w:cs="方正仿宋_GBK"/>
          <w:spacing w:val="-3"/>
          <w:lang w:val="en-US" w:eastAsia="zh-CN"/>
        </w:rPr>
        <w:t>七</w:t>
      </w:r>
      <w:r>
        <w:rPr>
          <w:rFonts w:hint="eastAsia" w:ascii="方正仿宋_GBK" w:hAnsi="方正仿宋_GBK" w:eastAsia="方正仿宋_GBK" w:cs="方正仿宋_GBK"/>
          <w:spacing w:val="-3"/>
        </w:rPr>
        <w:t>、政府采购支出说明</w:t>
      </w:r>
    </w:p>
    <w:p w14:paraId="390BF26C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203" w:line="560" w:lineRule="exact"/>
        <w:ind w:left="411"/>
        <w:jc w:val="both"/>
        <w:textAlignment w:val="baseline"/>
        <w:rPr>
          <w:rFonts w:hint="eastAsia" w:ascii="方正仿宋_GBK" w:hAnsi="方正仿宋_GBK" w:eastAsia="方正仿宋_GBK" w:cs="方正仿宋_GBK"/>
        </w:rPr>
      </w:pPr>
      <w:r>
        <w:rPr>
          <w:rFonts w:hint="eastAsia" w:ascii="方正仿宋_GBK" w:hAnsi="方正仿宋_GBK" w:eastAsia="方正仿宋_GBK" w:cs="方正仿宋_GBK"/>
          <w:spacing w:val="-2"/>
          <w:lang w:val="en-US" w:eastAsia="zh-CN"/>
        </w:rPr>
        <w:t>八</w:t>
      </w:r>
      <w:r>
        <w:rPr>
          <w:rFonts w:hint="eastAsia" w:ascii="方正仿宋_GBK" w:hAnsi="方正仿宋_GBK" w:eastAsia="方正仿宋_GBK" w:cs="方正仿宋_GBK"/>
          <w:spacing w:val="-2"/>
        </w:rPr>
        <w:t>、国有资产占用情况说明</w:t>
      </w:r>
    </w:p>
    <w:p w14:paraId="7AE695F2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201" w:line="560" w:lineRule="exact"/>
        <w:ind w:left="411"/>
        <w:jc w:val="both"/>
        <w:textAlignment w:val="baseline"/>
        <w:rPr>
          <w:rFonts w:hint="eastAsia" w:ascii="方正仿宋_GBK" w:hAnsi="方正仿宋_GBK" w:eastAsia="方正仿宋_GBK" w:cs="方正仿宋_GBK"/>
        </w:rPr>
      </w:pPr>
      <w:r>
        <w:rPr>
          <w:rFonts w:hint="eastAsia" w:ascii="方正仿宋_GBK" w:hAnsi="方正仿宋_GBK" w:eastAsia="方正仿宋_GBK" w:cs="方正仿宋_GBK"/>
          <w:spacing w:val="-3"/>
          <w:lang w:val="en-US" w:eastAsia="zh-CN"/>
        </w:rPr>
        <w:t>九</w:t>
      </w:r>
      <w:r>
        <w:rPr>
          <w:rFonts w:hint="eastAsia" w:ascii="方正仿宋_GBK" w:hAnsi="方正仿宋_GBK" w:eastAsia="方正仿宋_GBK" w:cs="方正仿宋_GBK"/>
          <w:spacing w:val="-3"/>
        </w:rPr>
        <w:t>、预算绩效情况说明</w:t>
      </w:r>
    </w:p>
    <w:p w14:paraId="61159A90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203" w:line="560" w:lineRule="exact"/>
        <w:ind w:left="397"/>
        <w:jc w:val="both"/>
        <w:textAlignment w:val="baseline"/>
        <w:rPr>
          <w:rFonts w:hint="default" w:ascii="黑体" w:hAnsi="黑体" w:eastAsia="黑体" w:cs="黑体"/>
          <w:sz w:val="32"/>
          <w:szCs w:val="32"/>
          <w:lang w:val="en-US" w:eastAsia="zh-CN"/>
        </w:rPr>
      </w:pPr>
      <w:r>
        <w:rPr>
          <w:rFonts w:ascii="黑体" w:hAnsi="黑体" w:eastAsia="黑体" w:cs="黑体"/>
          <w:spacing w:val="-2"/>
          <w:sz w:val="32"/>
          <w:szCs w:val="32"/>
        </w:rPr>
        <w:t>第</w:t>
      </w:r>
      <w:r>
        <w:rPr>
          <w:rFonts w:hint="eastAsia" w:ascii="黑体" w:hAnsi="黑体" w:eastAsia="黑体" w:cs="黑体"/>
          <w:spacing w:val="-2"/>
          <w:sz w:val="32"/>
          <w:szCs w:val="32"/>
          <w:lang w:val="en-US" w:eastAsia="zh-CN"/>
        </w:rPr>
        <w:t>四</w:t>
      </w:r>
      <w:r>
        <w:rPr>
          <w:rFonts w:ascii="黑体" w:hAnsi="黑体" w:eastAsia="黑体" w:cs="黑体"/>
          <w:spacing w:val="-2"/>
          <w:sz w:val="32"/>
          <w:szCs w:val="32"/>
        </w:rPr>
        <w:t>部分</w:t>
      </w:r>
      <w:r>
        <w:rPr>
          <w:rFonts w:hint="eastAsia" w:ascii="黑体" w:hAnsi="黑体" w:eastAsia="黑体" w:cs="黑体"/>
          <w:spacing w:val="-2"/>
          <w:sz w:val="32"/>
          <w:szCs w:val="32"/>
          <w:lang w:val="en-US" w:eastAsia="zh-CN"/>
        </w:rPr>
        <w:t>2</w:t>
      </w:r>
      <w:r>
        <w:rPr>
          <w:rFonts w:ascii="黑体" w:hAnsi="黑体" w:eastAsia="黑体" w:cs="黑体"/>
          <w:spacing w:val="-2"/>
          <w:sz w:val="32"/>
          <w:szCs w:val="32"/>
        </w:rPr>
        <w:t>023</w:t>
      </w:r>
      <w:r>
        <w:rPr>
          <w:rFonts w:hint="eastAsia" w:ascii="黑体" w:hAnsi="黑体" w:eastAsia="黑体" w:cs="黑体"/>
          <w:spacing w:val="-2"/>
          <w:sz w:val="32"/>
          <w:szCs w:val="32"/>
          <w:lang w:val="en-US" w:eastAsia="zh-CN"/>
        </w:rPr>
        <w:t>年</w:t>
      </w:r>
      <w:r>
        <w:rPr>
          <w:rFonts w:ascii="黑体" w:hAnsi="黑体" w:eastAsia="黑体" w:cs="黑体"/>
          <w:spacing w:val="-2"/>
          <w:sz w:val="32"/>
          <w:szCs w:val="32"/>
        </w:rPr>
        <w:t>度</w:t>
      </w:r>
      <w:r>
        <w:rPr>
          <w:rFonts w:hint="eastAsia" w:ascii="黑体" w:hAnsi="黑体" w:eastAsia="黑体" w:cs="黑体"/>
          <w:spacing w:val="-2"/>
          <w:sz w:val="32"/>
          <w:szCs w:val="32"/>
          <w:lang w:val="en-US" w:eastAsia="zh-CN"/>
        </w:rPr>
        <w:t>重点工作完成情况</w:t>
      </w:r>
    </w:p>
    <w:p w14:paraId="2A023C23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203" w:line="560" w:lineRule="exact"/>
        <w:ind w:left="397"/>
        <w:jc w:val="both"/>
        <w:textAlignment w:val="baseline"/>
        <w:rPr>
          <w:rFonts w:hint="eastAsia" w:ascii="黑体" w:hAnsi="黑体" w:eastAsia="黑体" w:cs="黑体"/>
          <w:spacing w:val="-2"/>
          <w:sz w:val="32"/>
          <w:szCs w:val="32"/>
          <w:lang w:val="en-US" w:eastAsia="zh-CN"/>
        </w:rPr>
      </w:pPr>
      <w:r>
        <w:rPr>
          <w:rFonts w:ascii="黑体" w:hAnsi="黑体" w:eastAsia="黑体" w:cs="黑体"/>
          <w:spacing w:val="-2"/>
          <w:sz w:val="32"/>
          <w:szCs w:val="32"/>
        </w:rPr>
        <w:t>第</w:t>
      </w:r>
      <w:r>
        <w:rPr>
          <w:rFonts w:hint="eastAsia" w:ascii="黑体" w:hAnsi="黑体" w:eastAsia="黑体" w:cs="黑体"/>
          <w:spacing w:val="-2"/>
          <w:sz w:val="32"/>
          <w:szCs w:val="32"/>
          <w:lang w:val="en-US" w:eastAsia="zh-CN"/>
        </w:rPr>
        <w:t>五</w:t>
      </w:r>
      <w:r>
        <w:rPr>
          <w:rFonts w:ascii="黑体" w:hAnsi="黑体" w:eastAsia="黑体" w:cs="黑体"/>
          <w:spacing w:val="-2"/>
          <w:sz w:val="32"/>
          <w:szCs w:val="32"/>
        </w:rPr>
        <w:t>部分</w:t>
      </w:r>
      <w:r>
        <w:rPr>
          <w:rFonts w:hint="eastAsia" w:ascii="黑体" w:hAnsi="黑体" w:eastAsia="黑体" w:cs="黑体"/>
          <w:spacing w:val="-2"/>
          <w:sz w:val="32"/>
          <w:szCs w:val="32"/>
          <w:lang w:val="en-US" w:eastAsia="zh-CN"/>
        </w:rPr>
        <w:t>名词解释</w:t>
      </w:r>
    </w:p>
    <w:p w14:paraId="12F0E175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203" w:line="560" w:lineRule="exact"/>
        <w:ind w:left="397"/>
        <w:jc w:val="both"/>
        <w:textAlignment w:val="baseline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ascii="黑体" w:hAnsi="黑体" w:eastAsia="黑体" w:cs="黑体"/>
          <w:spacing w:val="-2"/>
          <w:sz w:val="32"/>
          <w:szCs w:val="32"/>
        </w:rPr>
        <w:t>第</w:t>
      </w:r>
      <w:r>
        <w:rPr>
          <w:rFonts w:hint="eastAsia" w:ascii="黑体" w:hAnsi="黑体" w:eastAsia="黑体" w:cs="黑体"/>
          <w:spacing w:val="-2"/>
          <w:sz w:val="32"/>
          <w:szCs w:val="32"/>
          <w:lang w:val="en-US" w:eastAsia="zh-CN"/>
        </w:rPr>
        <w:t>六</w:t>
      </w:r>
      <w:r>
        <w:rPr>
          <w:rFonts w:ascii="黑体" w:hAnsi="黑体" w:eastAsia="黑体" w:cs="黑体"/>
          <w:spacing w:val="-2"/>
          <w:sz w:val="32"/>
          <w:szCs w:val="32"/>
        </w:rPr>
        <w:t>部分</w:t>
      </w:r>
      <w:r>
        <w:rPr>
          <w:rFonts w:hint="eastAsia" w:ascii="黑体" w:hAnsi="黑体" w:eastAsia="黑体" w:cs="黑体"/>
          <w:spacing w:val="-2"/>
          <w:sz w:val="32"/>
          <w:szCs w:val="32"/>
          <w:lang w:val="en-US" w:eastAsia="zh-CN"/>
        </w:rPr>
        <w:t>附件</w:t>
      </w:r>
    </w:p>
    <w:p w14:paraId="2873D04F">
      <w:pPr>
        <w:jc w:val="both"/>
        <w:rPr>
          <w:rFonts w:ascii="Arial" w:hAnsi="Arial" w:eastAsia="Arial" w:cs="Arial"/>
          <w:sz w:val="21"/>
          <w:szCs w:val="21"/>
        </w:rPr>
        <w:sectPr>
          <w:footerReference r:id="rId5" w:type="default"/>
          <w:pgSz w:w="11900" w:h="16840"/>
          <w:pgMar w:top="1431" w:right="1785" w:bottom="1717" w:left="1785" w:header="0" w:footer="1468" w:gutter="0"/>
          <w:cols w:space="720" w:num="1"/>
        </w:sectPr>
      </w:pPr>
    </w:p>
    <w:p w14:paraId="775FAC6C">
      <w:pPr>
        <w:keepNext w:val="0"/>
        <w:keepLines w:val="0"/>
        <w:pageBreakBefore w:val="0"/>
        <w:widowControl/>
        <w:numPr>
          <w:ilvl w:val="0"/>
          <w:numId w:val="1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43" w:line="560" w:lineRule="exact"/>
        <w:ind w:left="113"/>
        <w:jc w:val="center"/>
        <w:textAlignment w:val="baseline"/>
        <w:rPr>
          <w:rFonts w:hint="eastAsia" w:ascii="黑体" w:hAnsi="黑体" w:eastAsia="黑体" w:cs="黑体"/>
          <w:spacing w:val="-3"/>
          <w:sz w:val="44"/>
          <w:szCs w:val="44"/>
          <w:lang w:eastAsia="zh-CN"/>
        </w:rPr>
      </w:pPr>
      <w:r>
        <w:rPr>
          <w:rFonts w:hint="eastAsia" w:ascii="黑体" w:hAnsi="黑体" w:eastAsia="黑体" w:cs="黑体"/>
          <w:spacing w:val="-3"/>
          <w:sz w:val="44"/>
          <w:szCs w:val="44"/>
          <w:lang w:eastAsia="zh-CN"/>
        </w:rPr>
        <w:t>武汉市江岸区消防救援大队</w:t>
      </w:r>
    </w:p>
    <w:p w14:paraId="2ADEC47C">
      <w:pPr>
        <w:keepNext w:val="0"/>
        <w:keepLines w:val="0"/>
        <w:pageBreakBefore w:val="0"/>
        <w:widowControl/>
        <w:numPr>
          <w:ilvl w:val="0"/>
          <w:numId w:val="0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43" w:line="560" w:lineRule="exact"/>
        <w:jc w:val="center"/>
        <w:textAlignment w:val="baseline"/>
        <w:rPr>
          <w:rFonts w:ascii="黑体" w:hAnsi="黑体" w:eastAsia="黑体" w:cs="黑体"/>
          <w:spacing w:val="-3"/>
          <w:sz w:val="44"/>
          <w:szCs w:val="44"/>
        </w:rPr>
      </w:pPr>
      <w:r>
        <w:rPr>
          <w:rFonts w:ascii="黑体" w:hAnsi="黑体" w:eastAsia="黑体" w:cs="黑体"/>
          <w:spacing w:val="-3"/>
          <w:sz w:val="44"/>
          <w:szCs w:val="44"/>
        </w:rPr>
        <w:t>概况</w:t>
      </w:r>
    </w:p>
    <w:p w14:paraId="74076E08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04" w:line="560" w:lineRule="exact"/>
        <w:ind w:left="634"/>
        <w:jc w:val="both"/>
        <w:textAlignment w:val="baseline"/>
        <w:rPr>
          <w:rFonts w:ascii="黑体" w:hAnsi="黑体" w:eastAsia="黑体" w:cs="黑体"/>
          <w:sz w:val="32"/>
          <w:szCs w:val="32"/>
        </w:rPr>
      </w:pPr>
      <w:r>
        <w:rPr>
          <w:rFonts w:ascii="黑体" w:hAnsi="黑体" w:eastAsia="黑体" w:cs="黑体"/>
          <w:spacing w:val="-2"/>
          <w:sz w:val="32"/>
          <w:szCs w:val="32"/>
        </w:rPr>
        <w:t>一、部门主要职责</w:t>
      </w:r>
    </w:p>
    <w:p w14:paraId="050EA25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35" w:line="560" w:lineRule="exact"/>
        <w:ind w:left="30" w:right="78" w:firstLine="648"/>
        <w:jc w:val="both"/>
        <w:textAlignment w:val="auto"/>
        <w:rPr>
          <w:rFonts w:hint="eastAsia" w:ascii="Times New Roman" w:hAnsi="Times New Roman" w:eastAsia="方正仿宋_GBK" w:cs="方正仿宋_GBK"/>
          <w:bCs/>
          <w:snapToGrid/>
          <w:kern w:val="2"/>
          <w:sz w:val="32"/>
          <w:szCs w:val="32"/>
          <w:lang w:eastAsia="zh-CN"/>
        </w:rPr>
      </w:pPr>
      <w:r>
        <w:rPr>
          <w:rFonts w:hint="eastAsia" w:ascii="Times New Roman" w:hAnsi="Times New Roman" w:eastAsia="方正仿宋_GBK" w:cs="方正仿宋_GBK"/>
          <w:bCs/>
          <w:snapToGrid/>
          <w:kern w:val="2"/>
          <w:sz w:val="32"/>
          <w:szCs w:val="32"/>
          <w:lang w:eastAsia="zh-CN"/>
        </w:rPr>
        <w:t>武汉市江岸区消防救援大队由</w:t>
      </w:r>
      <w:r>
        <w:rPr>
          <w:rFonts w:hint="eastAsia" w:ascii="Times New Roman" w:hAnsi="Times New Roman" w:eastAsia="方正仿宋_GBK" w:cs="方正仿宋_GBK"/>
          <w:bCs/>
          <w:snapToGrid/>
          <w:kern w:val="2"/>
          <w:sz w:val="32"/>
          <w:szCs w:val="32"/>
          <w:lang w:val="en-US" w:eastAsia="zh-CN"/>
        </w:rPr>
        <w:t>武汉市救援支队</w:t>
      </w:r>
      <w:r>
        <w:rPr>
          <w:rFonts w:hint="eastAsia" w:ascii="Times New Roman" w:hAnsi="Times New Roman" w:eastAsia="方正仿宋_GBK" w:cs="方正仿宋_GBK"/>
          <w:bCs/>
          <w:snapToGrid/>
          <w:kern w:val="2"/>
          <w:sz w:val="32"/>
          <w:szCs w:val="32"/>
          <w:lang w:eastAsia="zh-CN"/>
        </w:rPr>
        <w:t>负责管理，依据有关法律法规履行下列职责：</w:t>
      </w:r>
    </w:p>
    <w:p w14:paraId="3401386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35" w:line="560" w:lineRule="exact"/>
        <w:ind w:left="30" w:right="78" w:firstLine="648"/>
        <w:jc w:val="both"/>
        <w:textAlignment w:val="auto"/>
        <w:rPr>
          <w:rFonts w:hint="eastAsia" w:ascii="Times New Roman" w:hAnsi="Times New Roman" w:eastAsia="方正仿宋_GBK" w:cs="方正仿宋_GBK"/>
          <w:bCs/>
          <w:snapToGrid/>
          <w:kern w:val="2"/>
          <w:sz w:val="32"/>
          <w:szCs w:val="32"/>
          <w:lang w:eastAsia="zh-CN"/>
        </w:rPr>
      </w:pPr>
      <w:r>
        <w:rPr>
          <w:rFonts w:hint="eastAsia" w:ascii="Times New Roman" w:hAnsi="Times New Roman" w:eastAsia="方正仿宋_GBK" w:cs="方正仿宋_GBK"/>
          <w:bCs/>
          <w:snapToGrid/>
          <w:kern w:val="2"/>
          <w:sz w:val="32"/>
          <w:szCs w:val="32"/>
          <w:lang w:eastAsia="zh-CN"/>
        </w:rPr>
        <w:t>1.认真贯彻“预防为主，防消结合”的方针，严格执行国家和地方的各项消防法律法规，负责本地区的消防监督、执勤灭火和队伍的管理教育工作。</w:t>
      </w:r>
    </w:p>
    <w:p w14:paraId="667E0D9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35" w:line="560" w:lineRule="exact"/>
        <w:ind w:left="30" w:right="78" w:firstLine="648"/>
        <w:jc w:val="both"/>
        <w:textAlignment w:val="auto"/>
        <w:rPr>
          <w:rFonts w:hint="eastAsia" w:ascii="Times New Roman" w:hAnsi="Times New Roman" w:eastAsia="方正仿宋_GBK" w:cs="方正仿宋_GBK"/>
          <w:bCs/>
          <w:snapToGrid/>
          <w:kern w:val="2"/>
          <w:sz w:val="32"/>
          <w:szCs w:val="32"/>
          <w:lang w:eastAsia="zh-CN"/>
        </w:rPr>
      </w:pPr>
      <w:r>
        <w:rPr>
          <w:rFonts w:hint="eastAsia" w:ascii="Times New Roman" w:hAnsi="Times New Roman" w:eastAsia="方正仿宋_GBK" w:cs="方正仿宋_GBK"/>
          <w:bCs/>
          <w:snapToGrid/>
          <w:kern w:val="2"/>
          <w:sz w:val="32"/>
          <w:szCs w:val="32"/>
          <w:lang w:eastAsia="zh-CN"/>
        </w:rPr>
        <w:t>2.掌握本地消防工作动态，适时向政府报告工作，负责制定消防建设规划，不断改善公共消防设施条件。</w:t>
      </w:r>
    </w:p>
    <w:p w14:paraId="371B572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35" w:line="560" w:lineRule="exact"/>
        <w:ind w:left="30" w:right="78" w:firstLine="648"/>
        <w:jc w:val="both"/>
        <w:textAlignment w:val="auto"/>
        <w:rPr>
          <w:rFonts w:hint="eastAsia" w:ascii="Times New Roman" w:hAnsi="Times New Roman" w:eastAsia="方正仿宋_GBK" w:cs="方正仿宋_GBK"/>
          <w:bCs/>
          <w:snapToGrid/>
          <w:kern w:val="2"/>
          <w:sz w:val="32"/>
          <w:szCs w:val="32"/>
          <w:lang w:eastAsia="zh-CN"/>
        </w:rPr>
      </w:pPr>
      <w:r>
        <w:rPr>
          <w:rFonts w:hint="eastAsia" w:ascii="Times New Roman" w:hAnsi="Times New Roman" w:eastAsia="方正仿宋_GBK" w:cs="方正仿宋_GBK"/>
          <w:bCs/>
          <w:snapToGrid/>
          <w:kern w:val="2"/>
          <w:sz w:val="32"/>
          <w:szCs w:val="32"/>
          <w:lang w:eastAsia="zh-CN"/>
        </w:rPr>
        <w:t>3.组织开展消防安全教育和消防安全检查，督促整改火灾隐患。</w:t>
      </w:r>
    </w:p>
    <w:p w14:paraId="2DAC9DF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35" w:line="560" w:lineRule="exact"/>
        <w:ind w:left="30" w:right="78" w:firstLine="648"/>
        <w:jc w:val="both"/>
        <w:textAlignment w:val="auto"/>
        <w:rPr>
          <w:rFonts w:hint="eastAsia" w:ascii="Times New Roman" w:hAnsi="Times New Roman" w:eastAsia="方正仿宋_GBK" w:cs="方正仿宋_GBK"/>
          <w:bCs/>
          <w:snapToGrid/>
          <w:kern w:val="2"/>
          <w:sz w:val="32"/>
          <w:szCs w:val="32"/>
          <w:lang w:eastAsia="zh-CN"/>
        </w:rPr>
      </w:pPr>
      <w:r>
        <w:rPr>
          <w:rFonts w:hint="eastAsia" w:ascii="Times New Roman" w:hAnsi="Times New Roman" w:eastAsia="方正仿宋_GBK" w:cs="方正仿宋_GBK"/>
          <w:bCs/>
          <w:snapToGrid/>
          <w:kern w:val="2"/>
          <w:sz w:val="32"/>
          <w:szCs w:val="32"/>
          <w:lang w:eastAsia="zh-CN"/>
        </w:rPr>
        <w:t>4.指导企业专职消防队、民办消防队和义务消防队的业务建设。</w:t>
      </w:r>
    </w:p>
    <w:p w14:paraId="043497B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35" w:line="560" w:lineRule="exact"/>
        <w:ind w:left="30" w:right="78" w:firstLine="648"/>
        <w:jc w:val="both"/>
        <w:textAlignment w:val="auto"/>
        <w:rPr>
          <w:rFonts w:hint="eastAsia" w:ascii="Times New Roman" w:hAnsi="Times New Roman" w:eastAsia="方正仿宋_GBK" w:cs="方正仿宋_GBK"/>
          <w:bCs/>
          <w:snapToGrid/>
          <w:kern w:val="2"/>
          <w:sz w:val="32"/>
          <w:szCs w:val="32"/>
          <w:lang w:eastAsia="zh-CN"/>
        </w:rPr>
      </w:pPr>
      <w:r>
        <w:rPr>
          <w:rFonts w:hint="eastAsia" w:ascii="Times New Roman" w:hAnsi="Times New Roman" w:eastAsia="方正仿宋_GBK" w:cs="方正仿宋_GBK"/>
          <w:bCs/>
          <w:snapToGrid/>
          <w:kern w:val="2"/>
          <w:sz w:val="32"/>
          <w:szCs w:val="32"/>
          <w:lang w:eastAsia="zh-CN"/>
        </w:rPr>
        <w:t>5.组织重大和一般火灾原因调查，处理火灾事故，负责消防产品监督管理和技术指导工作。</w:t>
      </w:r>
    </w:p>
    <w:p w14:paraId="09236EE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35" w:line="560" w:lineRule="exact"/>
        <w:ind w:left="30" w:right="78" w:firstLine="648"/>
        <w:jc w:val="both"/>
        <w:textAlignment w:val="auto"/>
        <w:rPr>
          <w:rFonts w:hint="eastAsia" w:ascii="Times New Roman" w:hAnsi="Times New Roman" w:eastAsia="方正仿宋_GBK" w:cs="方正仿宋_GBK"/>
          <w:bCs/>
          <w:snapToGrid/>
          <w:kern w:val="2"/>
          <w:sz w:val="32"/>
          <w:szCs w:val="32"/>
          <w:lang w:eastAsia="zh-CN"/>
        </w:rPr>
      </w:pPr>
      <w:r>
        <w:rPr>
          <w:rFonts w:hint="eastAsia" w:ascii="Times New Roman" w:hAnsi="Times New Roman" w:eastAsia="方正仿宋_GBK" w:cs="方正仿宋_GBK"/>
          <w:bCs/>
          <w:snapToGrid/>
          <w:kern w:val="2"/>
          <w:sz w:val="32"/>
          <w:szCs w:val="32"/>
          <w:lang w:eastAsia="zh-CN"/>
        </w:rPr>
        <w:t>6.教育队伍加强执勤战备，掌握消防安全重点单位的情况，指导消防站制定灭火预案，并适时进行演练，随时做好战斗准备，组织火灾扑救。</w:t>
      </w:r>
    </w:p>
    <w:p w14:paraId="2408F65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35" w:line="560" w:lineRule="exact"/>
        <w:ind w:left="30" w:right="78" w:firstLine="648"/>
        <w:jc w:val="both"/>
        <w:textAlignment w:val="auto"/>
        <w:rPr>
          <w:rFonts w:hint="eastAsia" w:ascii="Times New Roman" w:hAnsi="Times New Roman" w:eastAsia="方正仿宋_GBK" w:cs="方正仿宋_GBK"/>
          <w:bCs/>
          <w:snapToGrid/>
          <w:kern w:val="2"/>
          <w:sz w:val="32"/>
          <w:szCs w:val="32"/>
          <w:lang w:eastAsia="zh-CN"/>
        </w:rPr>
      </w:pPr>
      <w:r>
        <w:rPr>
          <w:rFonts w:hint="eastAsia" w:ascii="Times New Roman" w:hAnsi="Times New Roman" w:eastAsia="方正仿宋_GBK" w:cs="方正仿宋_GBK"/>
          <w:bCs/>
          <w:snapToGrid/>
          <w:kern w:val="2"/>
          <w:sz w:val="32"/>
          <w:szCs w:val="32"/>
          <w:lang w:eastAsia="zh-CN"/>
        </w:rPr>
        <w:t>7.指导队站开展消防体能、技能训练，开展消防战术、技术研究。</w:t>
      </w:r>
    </w:p>
    <w:p w14:paraId="6E15926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35" w:line="560" w:lineRule="exact"/>
        <w:ind w:left="30" w:right="78" w:firstLine="648"/>
        <w:jc w:val="both"/>
        <w:textAlignment w:val="auto"/>
        <w:rPr>
          <w:rFonts w:hint="eastAsia" w:ascii="Times New Roman" w:hAnsi="Times New Roman" w:eastAsia="方正仿宋_GBK" w:cs="Times New Roman"/>
          <w:snapToGrid/>
          <w:kern w:val="2"/>
          <w:sz w:val="32"/>
          <w:szCs w:val="32"/>
          <w:highlight w:val="yellow"/>
          <w:lang w:eastAsia="zh-CN"/>
        </w:rPr>
      </w:pPr>
      <w:r>
        <w:rPr>
          <w:rFonts w:hint="eastAsia" w:ascii="Times New Roman" w:hAnsi="Times New Roman" w:eastAsia="方正仿宋_GBK" w:cs="方正仿宋_GBK"/>
          <w:bCs/>
          <w:snapToGrid/>
          <w:kern w:val="2"/>
          <w:sz w:val="32"/>
          <w:szCs w:val="32"/>
          <w:lang w:eastAsia="zh-CN"/>
        </w:rPr>
        <w:t>8.加强队伍的管理教育、负责队伍的思想政治教育；开展消防队站建设，加强江岸区消防救援事业保障能力。</w:t>
      </w:r>
    </w:p>
    <w:p w14:paraId="53FE59C6">
      <w:pPr>
        <w:keepNext w:val="0"/>
        <w:keepLines w:val="0"/>
        <w:pageBreakBefore w:val="0"/>
        <w:wordWrap/>
        <w:overflowPunct/>
        <w:topLinePunct w:val="0"/>
        <w:bidi w:val="0"/>
        <w:spacing w:before="202" w:line="560" w:lineRule="exact"/>
        <w:ind w:left="634"/>
        <w:jc w:val="both"/>
        <w:rPr>
          <w:rFonts w:ascii="黑体" w:hAnsi="黑体" w:eastAsia="黑体" w:cs="黑体"/>
          <w:sz w:val="32"/>
          <w:szCs w:val="32"/>
        </w:rPr>
      </w:pPr>
      <w:r>
        <w:rPr>
          <w:rFonts w:ascii="黑体" w:hAnsi="黑体" w:eastAsia="黑体" w:cs="黑体"/>
          <w:spacing w:val="-2"/>
          <w:sz w:val="32"/>
          <w:szCs w:val="32"/>
        </w:rPr>
        <w:t>二、机构设置情况</w:t>
      </w:r>
    </w:p>
    <w:p w14:paraId="165EDD2D">
      <w:pPr>
        <w:pStyle w:val="2"/>
        <w:keepNext w:val="0"/>
        <w:keepLines w:val="0"/>
        <w:pageBreakBefore w:val="0"/>
        <w:wordWrap/>
        <w:overflowPunct/>
        <w:topLinePunct w:val="0"/>
        <w:bidi w:val="0"/>
        <w:spacing w:before="133" w:line="560" w:lineRule="exact"/>
        <w:ind w:right="10" w:firstLine="637"/>
        <w:jc w:val="both"/>
        <w:rPr>
          <w:rFonts w:hint="eastAsia" w:ascii="Times New Roman" w:hAnsi="Times New Roman" w:eastAsia="方正仿宋_GBK" w:cs="方正仿宋_GBK"/>
          <w:sz w:val="32"/>
        </w:rPr>
      </w:pPr>
      <w:r>
        <w:rPr>
          <w:rFonts w:hint="eastAsia" w:ascii="Times New Roman" w:hAnsi="Times New Roman" w:eastAsia="方正仿宋_GBK" w:cs="方正仿宋_GBK"/>
          <w:spacing w:val="-6"/>
          <w:sz w:val="32"/>
        </w:rPr>
        <w:t>从单位构成看，</w:t>
      </w:r>
      <w:r>
        <w:rPr>
          <w:rFonts w:hint="eastAsia" w:ascii="Times New Roman" w:hAnsi="Times New Roman" w:eastAsia="方正仿宋_GBK" w:cs="方正仿宋_GBK"/>
          <w:spacing w:val="-6"/>
          <w:sz w:val="32"/>
          <w:u w:val="single" w:color="auto"/>
          <w:lang w:eastAsia="zh-CN"/>
        </w:rPr>
        <w:t>武汉市江岸区消防救援大队</w:t>
      </w:r>
      <w:r>
        <w:rPr>
          <w:rFonts w:hint="eastAsia" w:ascii="Times New Roman" w:hAnsi="Times New Roman" w:eastAsia="方正仿宋_GBK" w:cs="方正仿宋_GBK"/>
          <w:spacing w:val="-6"/>
          <w:sz w:val="32"/>
        </w:rPr>
        <w:t>部门决算由实行独立核算的</w:t>
      </w:r>
      <w:r>
        <w:rPr>
          <w:rFonts w:hint="eastAsia" w:ascii="Times New Roman" w:hAnsi="Times New Roman" w:eastAsia="方正仿宋_GBK" w:cs="方正仿宋_GBK"/>
          <w:spacing w:val="-6"/>
          <w:sz w:val="32"/>
          <w:u w:val="single" w:color="auto"/>
          <w:lang w:eastAsia="zh-CN"/>
        </w:rPr>
        <w:t>武汉市江岸区消防救援大队</w:t>
      </w:r>
      <w:r>
        <w:rPr>
          <w:rFonts w:hint="eastAsia" w:ascii="Times New Roman" w:hAnsi="Times New Roman" w:eastAsia="方正仿宋_GBK" w:cs="方正仿宋_GBK"/>
          <w:spacing w:val="-3"/>
          <w:sz w:val="32"/>
        </w:rPr>
        <w:t>本级决算单位组成。</w:t>
      </w:r>
    </w:p>
    <w:p w14:paraId="73DF5EEA">
      <w:pPr>
        <w:pStyle w:val="2"/>
        <w:keepNext w:val="0"/>
        <w:keepLines w:val="0"/>
        <w:pageBreakBefore w:val="0"/>
        <w:wordWrap/>
        <w:overflowPunct/>
        <w:topLinePunct w:val="0"/>
        <w:bidi w:val="0"/>
        <w:spacing w:before="117" w:line="560" w:lineRule="exact"/>
        <w:ind w:left="12" w:firstLine="629"/>
        <w:jc w:val="both"/>
        <w:rPr>
          <w:rFonts w:hint="eastAsia" w:ascii="Times New Roman" w:hAnsi="Times New Roman" w:eastAsia="方正仿宋_GBK" w:cs="方正仿宋_GBK"/>
          <w:sz w:val="32"/>
        </w:rPr>
      </w:pPr>
      <w:r>
        <w:rPr>
          <w:rFonts w:hint="eastAsia" w:ascii="Times New Roman" w:hAnsi="Times New Roman" w:eastAsia="方正仿宋_GBK" w:cs="方正仿宋_GBK"/>
          <w:spacing w:val="-1"/>
          <w:sz w:val="32"/>
        </w:rPr>
        <w:t>纳入</w:t>
      </w:r>
      <w:r>
        <w:rPr>
          <w:rFonts w:hint="eastAsia" w:ascii="Times New Roman" w:hAnsi="Times New Roman" w:eastAsia="方正仿宋_GBK" w:cs="方正仿宋_GBK"/>
          <w:spacing w:val="-1"/>
          <w:sz w:val="32"/>
          <w:u w:val="single" w:color="auto"/>
          <w:lang w:eastAsia="zh-CN"/>
        </w:rPr>
        <w:t>武汉市江岸区消防救援大队</w:t>
      </w:r>
      <w:r>
        <w:rPr>
          <w:rFonts w:hint="eastAsia" w:ascii="Times New Roman" w:hAnsi="Times New Roman" w:eastAsia="方正仿宋_GBK" w:cs="方正仿宋_GBK"/>
          <w:spacing w:val="-1"/>
          <w:sz w:val="32"/>
          <w:u w:val="none" w:color="auto"/>
          <w:lang w:val="en-US" w:eastAsia="zh-CN"/>
        </w:rPr>
        <w:t>2</w:t>
      </w:r>
      <w:r>
        <w:rPr>
          <w:rFonts w:hint="eastAsia" w:ascii="Times New Roman" w:hAnsi="Times New Roman" w:eastAsia="方正仿宋_GBK" w:cs="方正仿宋_GBK"/>
          <w:spacing w:val="-1"/>
          <w:sz w:val="32"/>
          <w:u w:val="none" w:color="auto"/>
        </w:rPr>
        <w:t>023</w:t>
      </w:r>
      <w:r>
        <w:rPr>
          <w:rFonts w:hint="eastAsia" w:ascii="Times New Roman" w:hAnsi="Times New Roman" w:eastAsia="方正仿宋_GBK" w:cs="方正仿宋_GBK"/>
          <w:spacing w:val="-1"/>
          <w:sz w:val="32"/>
        </w:rPr>
        <w:t>年度部门决算编制范围的二级预算单位</w:t>
      </w:r>
      <w:r>
        <w:rPr>
          <w:rFonts w:hint="eastAsia" w:ascii="Times New Roman" w:hAnsi="Times New Roman" w:eastAsia="方正仿宋_GBK" w:cs="方正仿宋_GBK"/>
          <w:spacing w:val="-11"/>
          <w:sz w:val="32"/>
        </w:rPr>
        <w:t>包括：</w:t>
      </w:r>
    </w:p>
    <w:p w14:paraId="5492AC65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55" w:line="560" w:lineRule="exact"/>
        <w:ind w:left="629" w:right="629" w:firstLine="17"/>
        <w:jc w:val="both"/>
        <w:textAlignment w:val="baseline"/>
        <w:rPr>
          <w:rFonts w:ascii="Times New Roman" w:hAnsi="Times New Roman" w:eastAsia="方正仿宋_GBK"/>
          <w:sz w:val="32"/>
        </w:rPr>
      </w:pPr>
      <w:r>
        <w:rPr>
          <w:rFonts w:hint="eastAsia" w:ascii="Times New Roman" w:hAnsi="Times New Roman" w:eastAsia="方正仿宋_GBK" w:cs="方正仿宋_GBK"/>
          <w:spacing w:val="-11"/>
          <w:sz w:val="32"/>
        </w:rPr>
        <w:t>1.</w:t>
      </w:r>
      <w:r>
        <w:rPr>
          <w:rFonts w:hint="eastAsia" w:ascii="Times New Roman" w:hAnsi="Times New Roman" w:eastAsia="方正仿宋_GBK" w:cs="方正仿宋_GBK"/>
          <w:spacing w:val="-11"/>
          <w:sz w:val="32"/>
          <w:u w:val="single" w:color="auto"/>
          <w:lang w:eastAsia="zh-CN"/>
        </w:rPr>
        <w:t>武汉市江岸区防救援大队（</w:t>
      </w:r>
      <w:r>
        <w:rPr>
          <w:rFonts w:hint="eastAsia" w:ascii="Times New Roman" w:hAnsi="Times New Roman" w:eastAsia="方正仿宋_GBK" w:cs="方正仿宋_GBK"/>
          <w:spacing w:val="-11"/>
          <w:sz w:val="32"/>
          <w:u w:val="single" w:color="auto"/>
        </w:rPr>
        <w:t>本级</w:t>
      </w:r>
      <w:r>
        <w:rPr>
          <w:rFonts w:hint="eastAsia" w:ascii="Times New Roman" w:hAnsi="Times New Roman" w:eastAsia="方正仿宋_GBK" w:cs="方正仿宋_GBK"/>
          <w:spacing w:val="-11"/>
          <w:sz w:val="32"/>
          <w:u w:val="single" w:color="auto"/>
          <w:lang w:eastAsia="zh-CN"/>
        </w:rPr>
        <w:t>）</w:t>
      </w:r>
    </w:p>
    <w:p w14:paraId="4BF1AEE9">
      <w:pPr>
        <w:pStyle w:val="2"/>
        <w:spacing w:before="200" w:line="220" w:lineRule="auto"/>
        <w:jc w:val="both"/>
        <w:sectPr>
          <w:footerReference r:id="rId6" w:type="default"/>
          <w:pgSz w:w="11900" w:h="16840"/>
          <w:pgMar w:top="1431" w:right="1785" w:bottom="1717" w:left="1785" w:header="0" w:footer="1468" w:gutter="0"/>
          <w:cols w:space="720" w:num="1"/>
        </w:sectPr>
      </w:pPr>
    </w:p>
    <w:p w14:paraId="3BD2D163">
      <w:pPr>
        <w:spacing w:before="143" w:line="222" w:lineRule="auto"/>
        <w:ind w:left="113"/>
        <w:jc w:val="center"/>
        <w:rPr>
          <w:rFonts w:ascii="黑体" w:hAnsi="黑体" w:eastAsia="黑体" w:cs="黑体"/>
          <w:sz w:val="44"/>
          <w:szCs w:val="44"/>
        </w:rPr>
      </w:pPr>
      <w:r>
        <w:rPr>
          <w:rFonts w:ascii="黑体" w:hAnsi="黑体" w:eastAsia="黑体" w:cs="黑体"/>
          <w:spacing w:val="-3"/>
          <w:sz w:val="44"/>
          <w:szCs w:val="44"/>
        </w:rPr>
        <w:t>第二部分</w:t>
      </w:r>
      <w:r>
        <w:rPr>
          <w:rFonts w:hint="eastAsia" w:ascii="黑体" w:hAnsi="黑体" w:eastAsia="黑体" w:cs="黑体"/>
          <w:spacing w:val="-3"/>
          <w:sz w:val="44"/>
          <w:szCs w:val="44"/>
          <w:u w:val="single"/>
          <w:lang w:val="en-US" w:eastAsia="zh-CN"/>
        </w:rPr>
        <w:t>武</w:t>
      </w:r>
      <w:r>
        <w:rPr>
          <w:rFonts w:hint="eastAsia" w:ascii="黑体" w:hAnsi="黑体" w:eastAsia="黑体" w:cs="黑体"/>
          <w:spacing w:val="-3"/>
          <w:sz w:val="44"/>
          <w:szCs w:val="44"/>
          <w:u w:val="single"/>
          <w:lang w:eastAsia="zh-CN"/>
        </w:rPr>
        <w:t>汉市江岸区消防救援大队</w:t>
      </w:r>
      <w:r>
        <w:rPr>
          <w:rFonts w:ascii="黑体" w:hAnsi="黑体" w:eastAsia="黑体" w:cs="黑体"/>
          <w:spacing w:val="-3"/>
          <w:sz w:val="44"/>
          <w:szCs w:val="44"/>
        </w:rPr>
        <w:t>2023</w:t>
      </w:r>
      <w:r>
        <w:rPr>
          <w:rFonts w:hint="eastAsia" w:ascii="黑体" w:hAnsi="黑体" w:eastAsia="黑体" w:cs="黑体"/>
          <w:spacing w:val="-3"/>
          <w:sz w:val="44"/>
          <w:szCs w:val="44"/>
          <w:lang w:val="en-US" w:eastAsia="zh-CN"/>
        </w:rPr>
        <w:t>年</w:t>
      </w:r>
      <w:r>
        <w:rPr>
          <w:rFonts w:ascii="黑体" w:hAnsi="黑体" w:eastAsia="黑体" w:cs="黑体"/>
          <w:spacing w:val="-3"/>
          <w:sz w:val="44"/>
          <w:szCs w:val="44"/>
        </w:rPr>
        <w:t>度部门决算表</w:t>
      </w:r>
    </w:p>
    <w:p w14:paraId="569CA9D2">
      <w:pPr>
        <w:spacing w:line="222" w:lineRule="auto"/>
        <w:jc w:val="both"/>
        <w:rPr>
          <w:rFonts w:ascii="黑体" w:hAnsi="黑体" w:eastAsia="黑体" w:cs="黑体"/>
          <w:sz w:val="44"/>
          <w:szCs w:val="44"/>
        </w:rPr>
      </w:pPr>
    </w:p>
    <w:p w14:paraId="528D54FF">
      <w:pPr>
        <w:spacing w:line="222" w:lineRule="auto"/>
        <w:jc w:val="both"/>
      </w:pPr>
      <w:r>
        <w:drawing>
          <wp:inline distT="0" distB="0" distL="114300" distR="114300">
            <wp:extent cx="5549265" cy="4046855"/>
            <wp:effectExtent l="0" t="0" r="13335" b="1079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49265" cy="404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7430AC">
      <w:pPr>
        <w:spacing w:line="222" w:lineRule="auto"/>
        <w:jc w:val="both"/>
      </w:pPr>
    </w:p>
    <w:p w14:paraId="2EEEF080">
      <w:pPr>
        <w:spacing w:line="222" w:lineRule="auto"/>
        <w:jc w:val="both"/>
      </w:pPr>
    </w:p>
    <w:p w14:paraId="18A4D492">
      <w:pPr>
        <w:spacing w:line="222" w:lineRule="auto"/>
        <w:jc w:val="both"/>
      </w:pPr>
    </w:p>
    <w:p w14:paraId="2109AD19">
      <w:pPr>
        <w:spacing w:line="222" w:lineRule="auto"/>
        <w:jc w:val="both"/>
      </w:pPr>
      <w:r>
        <w:drawing>
          <wp:inline distT="0" distB="0" distL="114300" distR="114300">
            <wp:extent cx="5425440" cy="2928620"/>
            <wp:effectExtent l="0" t="0" r="3810" b="508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25440" cy="292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BE17F4">
      <w:pPr>
        <w:spacing w:line="222" w:lineRule="auto"/>
        <w:jc w:val="both"/>
      </w:pPr>
      <w:r>
        <w:drawing>
          <wp:inline distT="0" distB="0" distL="114300" distR="114300">
            <wp:extent cx="5723255" cy="3442970"/>
            <wp:effectExtent l="0" t="0" r="10795" b="5080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23255" cy="344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B235AD">
      <w:pPr>
        <w:spacing w:line="222" w:lineRule="auto"/>
        <w:jc w:val="both"/>
      </w:pPr>
    </w:p>
    <w:p w14:paraId="512BA4F3">
      <w:pPr>
        <w:spacing w:line="222" w:lineRule="auto"/>
        <w:jc w:val="both"/>
      </w:pPr>
    </w:p>
    <w:p w14:paraId="32B1CE21">
      <w:pPr>
        <w:spacing w:line="222" w:lineRule="auto"/>
        <w:jc w:val="both"/>
      </w:pPr>
      <w:r>
        <w:drawing>
          <wp:inline distT="0" distB="0" distL="114300" distR="114300">
            <wp:extent cx="5715635" cy="3707765"/>
            <wp:effectExtent l="0" t="0" r="18415" b="6985"/>
            <wp:docPr id="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15635" cy="370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D13CED">
      <w:pPr>
        <w:spacing w:line="222" w:lineRule="auto"/>
        <w:jc w:val="both"/>
      </w:pPr>
    </w:p>
    <w:p w14:paraId="3301C3E5">
      <w:pPr>
        <w:spacing w:line="222" w:lineRule="auto"/>
        <w:jc w:val="both"/>
      </w:pPr>
    </w:p>
    <w:p w14:paraId="0BD598D8">
      <w:pPr>
        <w:spacing w:line="222" w:lineRule="auto"/>
        <w:jc w:val="both"/>
      </w:pPr>
      <w:r>
        <w:drawing>
          <wp:inline distT="0" distB="0" distL="114300" distR="114300">
            <wp:extent cx="5548630" cy="4486275"/>
            <wp:effectExtent l="0" t="0" r="13970" b="9525"/>
            <wp:docPr id="1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48630" cy="448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63AC78">
      <w:pPr>
        <w:spacing w:line="222" w:lineRule="auto"/>
        <w:jc w:val="both"/>
      </w:pPr>
    </w:p>
    <w:p w14:paraId="6A517A1E">
      <w:pPr>
        <w:spacing w:line="222" w:lineRule="auto"/>
        <w:jc w:val="both"/>
      </w:pPr>
    </w:p>
    <w:p w14:paraId="54CD59AA">
      <w:pPr>
        <w:spacing w:line="222" w:lineRule="auto"/>
        <w:jc w:val="both"/>
      </w:pPr>
      <w:r>
        <w:drawing>
          <wp:inline distT="0" distB="0" distL="114300" distR="114300">
            <wp:extent cx="5433695" cy="2654300"/>
            <wp:effectExtent l="0" t="0" r="14605" b="12700"/>
            <wp:docPr id="1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33695" cy="265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D9EBAD">
      <w:pPr>
        <w:spacing w:line="222" w:lineRule="auto"/>
        <w:jc w:val="both"/>
      </w:pPr>
    </w:p>
    <w:p w14:paraId="0E0D74B9">
      <w:pPr>
        <w:spacing w:line="222" w:lineRule="auto"/>
        <w:jc w:val="both"/>
      </w:pPr>
    </w:p>
    <w:p w14:paraId="49DBD5A2">
      <w:pPr>
        <w:spacing w:line="222" w:lineRule="auto"/>
        <w:jc w:val="both"/>
      </w:pPr>
      <w:r>
        <w:drawing>
          <wp:inline distT="0" distB="0" distL="114300" distR="114300">
            <wp:extent cx="5443855" cy="1524000"/>
            <wp:effectExtent l="0" t="0" r="4445" b="0"/>
            <wp:docPr id="1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4385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EA1606">
      <w:pPr>
        <w:spacing w:line="222" w:lineRule="auto"/>
        <w:jc w:val="both"/>
      </w:pPr>
    </w:p>
    <w:p w14:paraId="537BDA11">
      <w:pPr>
        <w:spacing w:line="222" w:lineRule="auto"/>
        <w:jc w:val="both"/>
      </w:pPr>
    </w:p>
    <w:p w14:paraId="4777052D">
      <w:pPr>
        <w:spacing w:line="222" w:lineRule="auto"/>
        <w:jc w:val="both"/>
      </w:pPr>
    </w:p>
    <w:p w14:paraId="1FA446D8">
      <w:pPr>
        <w:spacing w:line="222" w:lineRule="auto"/>
        <w:jc w:val="both"/>
      </w:pPr>
      <w:r>
        <w:drawing>
          <wp:inline distT="0" distB="0" distL="114300" distR="114300">
            <wp:extent cx="5581015" cy="2353310"/>
            <wp:effectExtent l="0" t="0" r="635" b="8890"/>
            <wp:docPr id="1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81015" cy="2353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C711AF">
      <w:pPr>
        <w:spacing w:line="222" w:lineRule="auto"/>
        <w:jc w:val="both"/>
      </w:pPr>
    </w:p>
    <w:p w14:paraId="32FFC952">
      <w:pPr>
        <w:spacing w:line="222" w:lineRule="auto"/>
        <w:jc w:val="both"/>
      </w:pPr>
    </w:p>
    <w:p w14:paraId="5AF1F775">
      <w:pPr>
        <w:spacing w:line="222" w:lineRule="auto"/>
        <w:jc w:val="both"/>
      </w:pPr>
    </w:p>
    <w:p w14:paraId="79338345">
      <w:pPr>
        <w:spacing w:line="222" w:lineRule="auto"/>
        <w:jc w:val="both"/>
      </w:pPr>
    </w:p>
    <w:p w14:paraId="61459BD7">
      <w:pPr>
        <w:spacing w:line="222" w:lineRule="auto"/>
        <w:jc w:val="both"/>
        <w:sectPr>
          <w:footerReference r:id="rId7" w:type="default"/>
          <w:pgSz w:w="11900" w:h="16840"/>
          <w:pgMar w:top="1431" w:right="1785" w:bottom="1717" w:left="1785" w:header="0" w:footer="1467" w:gutter="0"/>
          <w:cols w:space="720" w:num="1"/>
        </w:sectPr>
      </w:pPr>
      <w:r>
        <w:drawing>
          <wp:inline distT="0" distB="0" distL="114300" distR="114300">
            <wp:extent cx="5654675" cy="1025525"/>
            <wp:effectExtent l="0" t="0" r="3175" b="3175"/>
            <wp:docPr id="16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54675" cy="102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45E16E">
      <w:pPr>
        <w:spacing w:before="143" w:line="222" w:lineRule="auto"/>
        <w:ind w:left="113"/>
        <w:jc w:val="center"/>
        <w:rPr>
          <w:rFonts w:ascii="黑体" w:hAnsi="黑体" w:eastAsia="黑体" w:cs="黑体"/>
          <w:spacing w:val="-3"/>
          <w:sz w:val="44"/>
          <w:szCs w:val="44"/>
        </w:rPr>
      </w:pPr>
      <w:r>
        <w:rPr>
          <w:rFonts w:ascii="黑体" w:hAnsi="黑体" w:eastAsia="黑体" w:cs="黑体"/>
          <w:spacing w:val="-3"/>
          <w:sz w:val="44"/>
          <w:szCs w:val="44"/>
        </w:rPr>
        <w:t>第三部分</w:t>
      </w:r>
      <w:r>
        <w:rPr>
          <w:rFonts w:hint="eastAsia" w:ascii="黑体" w:hAnsi="黑体" w:eastAsia="黑体" w:cs="黑体"/>
          <w:spacing w:val="-3"/>
          <w:sz w:val="44"/>
          <w:szCs w:val="44"/>
          <w:u w:val="single"/>
          <w:lang w:eastAsia="zh-CN"/>
        </w:rPr>
        <w:t>武汉市江岸区消防救援大队</w:t>
      </w:r>
      <w:r>
        <w:rPr>
          <w:rFonts w:ascii="黑体" w:hAnsi="黑体" w:eastAsia="黑体" w:cs="黑体"/>
          <w:spacing w:val="-3"/>
          <w:sz w:val="44"/>
          <w:szCs w:val="44"/>
        </w:rPr>
        <w:t>2023年度部门决算情况说明</w:t>
      </w:r>
    </w:p>
    <w:p w14:paraId="38AAA11F">
      <w:pPr>
        <w:jc w:val="both"/>
      </w:pPr>
    </w:p>
    <w:p w14:paraId="0B5DE478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04" w:line="560" w:lineRule="exact"/>
        <w:ind w:left="643"/>
        <w:jc w:val="both"/>
        <w:textAlignment w:val="baseline"/>
        <w:rPr>
          <w:rFonts w:ascii="黑体" w:hAnsi="黑体" w:eastAsia="黑体" w:cs="黑体"/>
          <w:sz w:val="32"/>
          <w:szCs w:val="32"/>
        </w:rPr>
      </w:pPr>
      <w:r>
        <w:rPr>
          <w:rFonts w:ascii="黑体" w:hAnsi="黑体" w:eastAsia="黑体" w:cs="黑体"/>
          <w:spacing w:val="-1"/>
          <w:sz w:val="32"/>
          <w:szCs w:val="32"/>
        </w:rPr>
        <w:t>一、收入支出决算总体情况说明</w:t>
      </w:r>
    </w:p>
    <w:p w14:paraId="0DB764B0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right="0" w:firstLine="620" w:firstLineChars="200"/>
        <w:jc w:val="both"/>
        <w:textAlignment w:val="baseline"/>
        <w:rPr>
          <w:rFonts w:hint="eastAsia" w:ascii="Times New Roman" w:hAnsi="Times New Roman" w:eastAsia="方正仿宋_GBK" w:cs="方正仿宋_GBK"/>
          <w:spacing w:val="-14"/>
          <w:sz w:val="32"/>
        </w:rPr>
      </w:pPr>
      <w:r>
        <w:rPr>
          <w:rFonts w:hint="eastAsia" w:ascii="Times New Roman" w:hAnsi="Times New Roman" w:eastAsia="方正仿宋_GBK" w:cs="方正仿宋_GBK"/>
          <w:spacing w:val="-5"/>
          <w:sz w:val="32"/>
        </w:rPr>
        <w:t>2023年度收、支总计</w:t>
      </w:r>
      <w:r>
        <w:rPr>
          <w:rFonts w:hint="eastAsia" w:ascii="Times New Roman" w:hAnsi="Times New Roman" w:eastAsia="方正仿宋_GBK" w:cs="方正仿宋_GBK"/>
          <w:spacing w:val="-5"/>
          <w:sz w:val="32"/>
          <w:u w:val="single" w:color="auto"/>
        </w:rPr>
        <w:t>4,727.16</w:t>
      </w:r>
      <w:r>
        <w:rPr>
          <w:rFonts w:hint="eastAsia" w:ascii="Times New Roman" w:hAnsi="Times New Roman" w:eastAsia="方正仿宋_GBK" w:cs="方正仿宋_GBK"/>
          <w:spacing w:val="-5"/>
          <w:sz w:val="32"/>
          <w:u w:val="none" w:color="auto"/>
          <w:lang w:val="en-US" w:eastAsia="zh-CN"/>
        </w:rPr>
        <w:t>万</w:t>
      </w:r>
      <w:r>
        <w:rPr>
          <w:rFonts w:hint="eastAsia" w:ascii="Times New Roman" w:hAnsi="Times New Roman" w:eastAsia="方正仿宋_GBK" w:cs="方正仿宋_GBK"/>
          <w:spacing w:val="-5"/>
          <w:sz w:val="32"/>
          <w:u w:val="none" w:color="auto"/>
        </w:rPr>
        <w:t>元</w:t>
      </w:r>
      <w:r>
        <w:rPr>
          <w:rFonts w:hint="eastAsia" w:ascii="Times New Roman" w:hAnsi="Times New Roman" w:eastAsia="方正仿宋_GBK" w:cs="方正仿宋_GBK"/>
          <w:spacing w:val="-5"/>
          <w:sz w:val="32"/>
        </w:rPr>
        <w:t>。与2022年度相比，收</w:t>
      </w:r>
      <w:r>
        <w:rPr>
          <w:rFonts w:hint="eastAsia" w:ascii="Times New Roman" w:hAnsi="Times New Roman" w:eastAsia="方正仿宋_GBK" w:cs="方正仿宋_GBK"/>
          <w:spacing w:val="-5"/>
          <w:sz w:val="32"/>
          <w:lang w:eastAsia="zh-CN"/>
        </w:rPr>
        <w:t>、</w:t>
      </w:r>
      <w:r>
        <w:rPr>
          <w:rFonts w:hint="eastAsia" w:ascii="Times New Roman" w:hAnsi="Times New Roman" w:eastAsia="方正仿宋_GBK" w:cs="方正仿宋_GBK"/>
          <w:spacing w:val="-1"/>
          <w:sz w:val="32"/>
        </w:rPr>
        <w:t>支总计各增加</w:t>
      </w:r>
      <w:r>
        <w:rPr>
          <w:rFonts w:hint="eastAsia" w:ascii="Times New Roman" w:hAnsi="Times New Roman" w:eastAsia="方正仿宋_GBK" w:cs="方正仿宋_GBK"/>
          <w:spacing w:val="-1"/>
          <w:sz w:val="32"/>
          <w:u w:val="single" w:color="auto"/>
          <w:lang w:val="en-US" w:eastAsia="zh-CN"/>
        </w:rPr>
        <w:t>553.28</w:t>
      </w:r>
      <w:r>
        <w:rPr>
          <w:rFonts w:hint="eastAsia" w:ascii="Times New Roman" w:hAnsi="Times New Roman" w:eastAsia="方正仿宋_GBK" w:cs="方正仿宋_GBK"/>
          <w:spacing w:val="-1"/>
          <w:sz w:val="32"/>
        </w:rPr>
        <w:t>万元，增长</w:t>
      </w:r>
      <w:r>
        <w:rPr>
          <w:rFonts w:hint="eastAsia" w:ascii="Times New Roman" w:hAnsi="Times New Roman" w:eastAsia="方正仿宋_GBK" w:cs="方正仿宋_GBK"/>
          <w:sz w:val="32"/>
          <w:u w:val="single" w:color="auto"/>
          <w:lang w:val="en-US" w:eastAsia="zh-CN"/>
        </w:rPr>
        <w:t>13.26</w:t>
      </w:r>
      <w:r>
        <w:rPr>
          <w:rFonts w:hint="eastAsia" w:ascii="Times New Roman" w:hAnsi="Times New Roman" w:eastAsia="方正仿宋_GBK" w:cs="方正仿宋_GBK"/>
          <w:spacing w:val="-1"/>
          <w:sz w:val="32"/>
        </w:rPr>
        <w:t>%，主要原因是地方财政加大了对江岸区消防事业的经费投入，保障了消防救援干部、消防员、专职消防员及文员的人员经费</w:t>
      </w:r>
      <w:r>
        <w:rPr>
          <w:rFonts w:hint="eastAsia" w:ascii="Times New Roman" w:hAnsi="Times New Roman" w:eastAsia="方正仿宋_GBK" w:cs="方正仿宋_GBK"/>
          <w:spacing w:val="-14"/>
          <w:sz w:val="32"/>
        </w:rPr>
        <w:t>。</w:t>
      </w:r>
    </w:p>
    <w:p w14:paraId="5FD7638D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right="0" w:firstLine="584" w:firstLineChars="200"/>
        <w:jc w:val="both"/>
        <w:textAlignment w:val="baseline"/>
        <w:rPr>
          <w:rFonts w:hint="eastAsia" w:ascii="Times New Roman" w:hAnsi="Times New Roman" w:eastAsia="方正仿宋_GBK" w:cs="方正仿宋_GBK"/>
          <w:spacing w:val="-14"/>
          <w:sz w:val="32"/>
        </w:rPr>
      </w:pPr>
    </w:p>
    <w:p w14:paraId="4205740B">
      <w:pPr>
        <w:jc w:val="center"/>
      </w:pPr>
      <w:r>
        <w:drawing>
          <wp:inline distT="0" distB="0" distL="114300" distR="114300">
            <wp:extent cx="3874770" cy="2454910"/>
            <wp:effectExtent l="4445" t="4445" r="6985" b="17145"/>
            <wp:docPr id="2" name="图表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02628F33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firstLine="420" w:firstLineChars="200"/>
        <w:jc w:val="both"/>
        <w:textAlignment w:val="baseline"/>
      </w:pPr>
    </w:p>
    <w:p w14:paraId="6107D818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294" w:line="560" w:lineRule="exact"/>
        <w:ind w:firstLine="632" w:firstLineChars="200"/>
        <w:jc w:val="both"/>
        <w:textAlignment w:val="baseline"/>
        <w:rPr>
          <w:rFonts w:ascii="黑体" w:hAnsi="黑体" w:eastAsia="黑体" w:cs="黑体"/>
          <w:sz w:val="32"/>
          <w:szCs w:val="32"/>
        </w:rPr>
      </w:pPr>
      <w:r>
        <w:rPr>
          <w:rFonts w:ascii="黑体" w:hAnsi="黑体" w:eastAsia="黑体" w:cs="黑体"/>
          <w:spacing w:val="-2"/>
          <w:sz w:val="32"/>
          <w:szCs w:val="32"/>
        </w:rPr>
        <w:t>二、收入决算情况说明</w:t>
      </w:r>
    </w:p>
    <w:p w14:paraId="6B449794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right="0" w:firstLine="628" w:firstLineChars="200"/>
        <w:jc w:val="both"/>
        <w:textAlignment w:val="baseline"/>
        <w:rPr>
          <w:rFonts w:hint="eastAsia"/>
          <w:spacing w:val="-5"/>
          <w:u w:val="none"/>
          <w:lang w:val="en-US" w:eastAsia="zh-CN"/>
        </w:rPr>
      </w:pPr>
      <w:r>
        <w:rPr>
          <w:rFonts w:hint="eastAsia" w:ascii="Times New Roman" w:hAnsi="Times New Roman" w:eastAsia="方正仿宋_GBK" w:cs="方正仿宋_GBK"/>
          <w:spacing w:val="-3"/>
          <w:sz w:val="32"/>
          <w:shd w:val="clear" w:color="auto" w:fill="auto"/>
        </w:rPr>
        <w:t>2023年度</w:t>
      </w:r>
      <w:r>
        <w:rPr>
          <w:rFonts w:hint="eastAsia" w:ascii="Times New Roman" w:hAnsi="Times New Roman" w:eastAsia="方正仿宋_GBK" w:cs="方正仿宋_GBK"/>
          <w:spacing w:val="-3"/>
          <w:sz w:val="32"/>
          <w:shd w:val="clear" w:color="auto" w:fill="auto"/>
          <w:lang w:eastAsia="zh-CN"/>
        </w:rPr>
        <w:t>收入合</w:t>
      </w:r>
      <w:r>
        <w:rPr>
          <w:rFonts w:hint="eastAsia" w:ascii="Times New Roman" w:hAnsi="Times New Roman" w:eastAsia="方正仿宋_GBK" w:cs="方正仿宋_GBK"/>
          <w:spacing w:val="-3"/>
          <w:sz w:val="32"/>
          <w:shd w:val="clear" w:color="auto" w:fill="auto"/>
        </w:rPr>
        <w:t>计4,727.16万元。与2022年度相比，</w:t>
      </w:r>
      <w:r>
        <w:rPr>
          <w:rFonts w:hint="eastAsia" w:ascii="Times New Roman" w:hAnsi="Times New Roman" w:eastAsia="方正仿宋_GBK" w:cs="方正仿宋_GBK"/>
          <w:spacing w:val="-3"/>
          <w:sz w:val="32"/>
          <w:shd w:val="clear" w:color="auto" w:fill="auto"/>
          <w:lang w:eastAsia="zh-CN"/>
        </w:rPr>
        <w:t>收入合计</w:t>
      </w:r>
      <w:r>
        <w:rPr>
          <w:rFonts w:hint="eastAsia" w:ascii="Times New Roman" w:hAnsi="Times New Roman" w:eastAsia="方正仿宋_GBK" w:cs="方正仿宋_GBK"/>
          <w:spacing w:val="-3"/>
          <w:sz w:val="32"/>
          <w:shd w:val="clear" w:color="auto" w:fill="auto"/>
        </w:rPr>
        <w:t>增加</w:t>
      </w:r>
      <w:r>
        <w:rPr>
          <w:rFonts w:hint="eastAsia" w:ascii="Times New Roman" w:hAnsi="Times New Roman" w:eastAsia="方正仿宋_GBK" w:cs="方正仿宋_GBK"/>
          <w:spacing w:val="-3"/>
          <w:sz w:val="32"/>
          <w:shd w:val="clear" w:color="auto" w:fill="auto"/>
          <w:lang w:val="en-US" w:eastAsia="zh-CN"/>
        </w:rPr>
        <w:t>553.28</w:t>
      </w:r>
      <w:r>
        <w:rPr>
          <w:rFonts w:hint="eastAsia" w:ascii="Times New Roman" w:hAnsi="Times New Roman" w:eastAsia="方正仿宋_GBK" w:cs="方正仿宋_GBK"/>
          <w:spacing w:val="-3"/>
          <w:sz w:val="32"/>
          <w:shd w:val="clear" w:color="auto" w:fill="auto"/>
        </w:rPr>
        <w:t>万元，增长</w:t>
      </w:r>
      <w:r>
        <w:rPr>
          <w:rFonts w:hint="eastAsia" w:ascii="Times New Roman" w:hAnsi="Times New Roman" w:eastAsia="方正仿宋_GBK" w:cs="方正仿宋_GBK"/>
          <w:spacing w:val="-3"/>
          <w:sz w:val="32"/>
          <w:shd w:val="clear" w:color="auto" w:fill="auto"/>
          <w:lang w:val="en-US" w:eastAsia="zh-CN"/>
        </w:rPr>
        <w:t>13.26</w:t>
      </w:r>
      <w:r>
        <w:rPr>
          <w:rFonts w:hint="eastAsia" w:ascii="Times New Roman" w:hAnsi="Times New Roman" w:eastAsia="方正仿宋_GBK" w:cs="方正仿宋_GBK"/>
          <w:spacing w:val="-3"/>
          <w:sz w:val="32"/>
          <w:shd w:val="clear" w:color="auto" w:fill="auto"/>
        </w:rPr>
        <w:t>%，主要原因是专职消防员、干部及国家队消防员部分人员经费由区级财政负担，人员经费保障增加；新建塔子湖消防站项目开展。</w:t>
      </w:r>
      <w:r>
        <w:rPr>
          <w:rFonts w:hint="eastAsia" w:ascii="Times New Roman" w:hAnsi="Times New Roman" w:eastAsia="方正仿宋_GBK" w:cs="方正仿宋_GBK"/>
          <w:spacing w:val="-3"/>
          <w:sz w:val="32"/>
          <w:shd w:val="clear" w:color="auto" w:fill="auto"/>
          <w:lang w:eastAsia="zh-CN"/>
        </w:rPr>
        <w:t>其中：财政拨款收入</w:t>
      </w:r>
      <w:r>
        <w:rPr>
          <w:rFonts w:hint="eastAsia" w:ascii="Times New Roman" w:hAnsi="Times New Roman" w:eastAsia="方正仿宋_GBK" w:cs="方正仿宋_GBK"/>
          <w:spacing w:val="-3"/>
          <w:sz w:val="32"/>
          <w:shd w:val="clear" w:color="auto" w:fill="auto"/>
        </w:rPr>
        <w:t>4,727.16万元</w:t>
      </w:r>
      <w:r>
        <w:rPr>
          <w:rFonts w:hint="eastAsia" w:ascii="Times New Roman" w:hAnsi="Times New Roman" w:eastAsia="方正仿宋_GBK" w:cs="方正仿宋_GBK"/>
          <w:spacing w:val="-3"/>
          <w:sz w:val="32"/>
          <w:shd w:val="clear" w:color="auto" w:fill="auto"/>
          <w:lang w:eastAsia="zh-CN"/>
        </w:rPr>
        <w:t>，占本年收入</w:t>
      </w:r>
      <w:r>
        <w:rPr>
          <w:rFonts w:hint="eastAsia" w:ascii="Times New Roman" w:hAnsi="Times New Roman" w:eastAsia="方正仿宋_GBK" w:cs="方正仿宋_GBK"/>
          <w:spacing w:val="-3"/>
          <w:sz w:val="32"/>
          <w:shd w:val="clear" w:color="auto" w:fill="auto"/>
          <w:lang w:val="en-US" w:eastAsia="zh-CN"/>
        </w:rPr>
        <w:t>100.00%；上级补助收入0万元，占本年收入0%；事业收入0万元，占本年收入0%；经营收入0万元，占本年收入0%；其他收入0万元，占本年收入0%。</w:t>
      </w:r>
    </w:p>
    <w:p w14:paraId="40A6A578">
      <w:pPr>
        <w:pStyle w:val="2"/>
        <w:spacing w:before="215" w:line="337" w:lineRule="auto"/>
        <w:ind w:left="7" w:right="84" w:firstLine="643"/>
        <w:jc w:val="both"/>
        <w:rPr>
          <w:rFonts w:hint="eastAsia"/>
          <w:spacing w:val="-5"/>
          <w:u w:val="none"/>
          <w:lang w:val="en-US" w:eastAsia="zh-CN"/>
        </w:rPr>
      </w:pPr>
      <w:r>
        <w:drawing>
          <wp:inline distT="0" distB="0" distL="114300" distR="114300">
            <wp:extent cx="3865880" cy="2101850"/>
            <wp:effectExtent l="5080" t="4445" r="15240" b="8255"/>
            <wp:docPr id="1" name="图表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7E415B70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04" w:line="560" w:lineRule="exact"/>
        <w:ind w:left="642"/>
        <w:jc w:val="both"/>
        <w:textAlignment w:val="baseline"/>
        <w:rPr>
          <w:rFonts w:ascii="黑体" w:hAnsi="黑体" w:eastAsia="黑体" w:cs="黑体"/>
          <w:sz w:val="32"/>
          <w:szCs w:val="32"/>
        </w:rPr>
      </w:pPr>
      <w:r>
        <w:rPr>
          <w:rFonts w:ascii="黑体" w:hAnsi="黑体" w:eastAsia="黑体" w:cs="黑体"/>
          <w:spacing w:val="-2"/>
          <w:sz w:val="32"/>
          <w:szCs w:val="32"/>
        </w:rPr>
        <w:t>三、支出决算情况说明</w:t>
      </w:r>
    </w:p>
    <w:p w14:paraId="51A1EEA7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217" w:line="560" w:lineRule="exact"/>
        <w:ind w:firstLine="628" w:firstLineChars="200"/>
        <w:jc w:val="both"/>
        <w:textAlignment w:val="baseline"/>
        <w:rPr>
          <w:rFonts w:hint="eastAsia" w:ascii="Times New Roman" w:hAnsi="Times New Roman" w:eastAsia="方正仿宋_GBK" w:cs="方正仿宋_GBK"/>
          <w:spacing w:val="-3"/>
          <w:sz w:val="32"/>
          <w:shd w:val="clear" w:color="auto" w:fill="auto"/>
        </w:rPr>
      </w:pPr>
      <w:r>
        <w:rPr>
          <w:rFonts w:hint="eastAsia" w:ascii="Times New Roman" w:hAnsi="Times New Roman" w:eastAsia="方正仿宋_GBK" w:cs="方正仿宋_GBK"/>
          <w:spacing w:val="-3"/>
          <w:sz w:val="32"/>
          <w:shd w:val="clear" w:color="auto" w:fill="auto"/>
        </w:rPr>
        <w:t>2023年度支出合计</w:t>
      </w:r>
      <w:r>
        <w:rPr>
          <w:rFonts w:hint="eastAsia" w:ascii="Times New Roman" w:hAnsi="Times New Roman" w:eastAsia="方正仿宋_GBK" w:cs="方正仿宋_GBK"/>
          <w:spacing w:val="-3"/>
          <w:sz w:val="32"/>
          <w:shd w:val="clear" w:color="auto" w:fill="auto"/>
          <w:lang w:val="en-US" w:eastAsia="zh-CN"/>
        </w:rPr>
        <w:t>4,727.16</w:t>
      </w:r>
      <w:r>
        <w:rPr>
          <w:rFonts w:hint="eastAsia" w:ascii="Times New Roman" w:hAnsi="Times New Roman" w:eastAsia="方正仿宋_GBK" w:cs="方正仿宋_GBK"/>
          <w:spacing w:val="-3"/>
          <w:sz w:val="32"/>
          <w:shd w:val="clear" w:color="auto" w:fill="auto"/>
        </w:rPr>
        <w:t>万元，与2022年度相比，支出合计增加</w:t>
      </w:r>
      <w:r>
        <w:rPr>
          <w:rFonts w:hint="eastAsia" w:ascii="Times New Roman" w:hAnsi="Times New Roman" w:eastAsia="方正仿宋_GBK" w:cs="方正仿宋_GBK"/>
          <w:spacing w:val="-3"/>
          <w:sz w:val="32"/>
          <w:shd w:val="clear" w:color="auto" w:fill="auto"/>
          <w:lang w:val="en-US" w:eastAsia="zh-CN"/>
        </w:rPr>
        <w:t>553.28</w:t>
      </w:r>
      <w:r>
        <w:rPr>
          <w:rFonts w:hint="eastAsia" w:ascii="Times New Roman" w:hAnsi="Times New Roman" w:eastAsia="方正仿宋_GBK" w:cs="方正仿宋_GBK"/>
          <w:spacing w:val="-3"/>
          <w:sz w:val="32"/>
          <w:shd w:val="clear" w:color="auto" w:fill="auto"/>
        </w:rPr>
        <w:t>万元，增长</w:t>
      </w:r>
      <w:r>
        <w:rPr>
          <w:rFonts w:hint="eastAsia" w:ascii="Times New Roman" w:hAnsi="Times New Roman" w:eastAsia="方正仿宋_GBK" w:cs="方正仿宋_GBK"/>
          <w:spacing w:val="-3"/>
          <w:sz w:val="32"/>
          <w:shd w:val="clear" w:color="auto" w:fill="auto"/>
          <w:lang w:val="en-US" w:eastAsia="zh-CN"/>
        </w:rPr>
        <w:t>13.26</w:t>
      </w:r>
      <w:r>
        <w:rPr>
          <w:rFonts w:hint="eastAsia" w:ascii="Times New Roman" w:hAnsi="Times New Roman" w:eastAsia="方正仿宋_GBK" w:cs="方正仿宋_GBK"/>
          <w:spacing w:val="-3"/>
          <w:sz w:val="32"/>
          <w:shd w:val="clear" w:color="auto" w:fill="auto"/>
        </w:rPr>
        <w:t>%，主要原因是专职消防员、干部及国家队消防员部分人员经费由区级财政负担。其中：基本支出</w:t>
      </w:r>
      <w:r>
        <w:rPr>
          <w:rFonts w:hint="eastAsia" w:ascii="Times New Roman" w:hAnsi="Times New Roman" w:eastAsia="方正仿宋_GBK" w:cs="方正仿宋_GBK"/>
          <w:spacing w:val="-3"/>
          <w:sz w:val="32"/>
          <w:shd w:val="clear" w:color="auto" w:fill="auto"/>
          <w:lang w:val="en-US" w:eastAsia="zh-CN"/>
        </w:rPr>
        <w:t>964.26</w:t>
      </w:r>
      <w:r>
        <w:rPr>
          <w:rFonts w:hint="eastAsia" w:ascii="Times New Roman" w:hAnsi="Times New Roman" w:eastAsia="方正仿宋_GBK" w:cs="方正仿宋_GBK"/>
          <w:spacing w:val="-3"/>
          <w:sz w:val="32"/>
          <w:shd w:val="clear" w:color="auto" w:fill="auto"/>
        </w:rPr>
        <w:t>万元，占本年支出</w:t>
      </w:r>
      <w:r>
        <w:rPr>
          <w:rFonts w:hint="eastAsia" w:ascii="Times New Roman" w:hAnsi="Times New Roman" w:eastAsia="方正仿宋_GBK" w:cs="方正仿宋_GBK"/>
          <w:spacing w:val="-3"/>
          <w:sz w:val="32"/>
          <w:shd w:val="clear" w:color="auto" w:fill="auto"/>
          <w:lang w:val="en-US" w:eastAsia="zh-CN"/>
        </w:rPr>
        <w:t>20.40</w:t>
      </w:r>
      <w:r>
        <w:rPr>
          <w:rFonts w:hint="eastAsia" w:ascii="Times New Roman" w:hAnsi="Times New Roman" w:eastAsia="方正仿宋_GBK" w:cs="方正仿宋_GBK"/>
          <w:spacing w:val="-3"/>
          <w:sz w:val="32"/>
          <w:shd w:val="clear" w:color="auto" w:fill="auto"/>
        </w:rPr>
        <w:t>%；项目支出</w:t>
      </w:r>
      <w:r>
        <w:rPr>
          <w:rFonts w:hint="eastAsia" w:ascii="Times New Roman" w:hAnsi="Times New Roman" w:eastAsia="方正仿宋_GBK" w:cs="方正仿宋_GBK"/>
          <w:spacing w:val="-3"/>
          <w:sz w:val="32"/>
          <w:shd w:val="clear" w:color="auto" w:fill="auto"/>
          <w:lang w:val="en-US" w:eastAsia="zh-CN"/>
        </w:rPr>
        <w:t>3,762.9</w:t>
      </w:r>
      <w:r>
        <w:rPr>
          <w:rFonts w:hint="eastAsia" w:ascii="Times New Roman" w:hAnsi="Times New Roman" w:eastAsia="方正仿宋_GBK" w:cs="方正仿宋_GBK"/>
          <w:spacing w:val="-3"/>
          <w:sz w:val="32"/>
          <w:shd w:val="clear" w:color="auto" w:fill="auto"/>
        </w:rPr>
        <w:t>万元，占本年支出</w:t>
      </w:r>
      <w:r>
        <w:rPr>
          <w:rFonts w:hint="eastAsia" w:ascii="Times New Roman" w:hAnsi="Times New Roman" w:eastAsia="方正仿宋_GBK" w:cs="方正仿宋_GBK"/>
          <w:spacing w:val="-3"/>
          <w:sz w:val="32"/>
          <w:shd w:val="clear" w:color="auto" w:fill="auto"/>
          <w:lang w:val="en-US" w:eastAsia="zh-CN"/>
        </w:rPr>
        <w:t>79.60</w:t>
      </w:r>
      <w:r>
        <w:rPr>
          <w:rFonts w:hint="eastAsia" w:ascii="Times New Roman" w:hAnsi="Times New Roman" w:eastAsia="方正仿宋_GBK" w:cs="方正仿宋_GBK"/>
          <w:spacing w:val="-3"/>
          <w:sz w:val="32"/>
          <w:shd w:val="clear" w:color="auto" w:fill="auto"/>
        </w:rPr>
        <w:t>%；上缴上级支出</w:t>
      </w:r>
      <w:r>
        <w:rPr>
          <w:rFonts w:hint="eastAsia" w:ascii="Times New Roman" w:hAnsi="Times New Roman" w:eastAsia="方正仿宋_GBK" w:cs="方正仿宋_GBK"/>
          <w:spacing w:val="-3"/>
          <w:sz w:val="32"/>
          <w:shd w:val="clear" w:color="auto" w:fill="auto"/>
          <w:lang w:val="en-US" w:eastAsia="zh-CN"/>
        </w:rPr>
        <w:t>0</w:t>
      </w:r>
      <w:r>
        <w:rPr>
          <w:rFonts w:hint="eastAsia" w:ascii="Times New Roman" w:hAnsi="Times New Roman" w:eastAsia="方正仿宋_GBK" w:cs="方正仿宋_GBK"/>
          <w:spacing w:val="-3"/>
          <w:sz w:val="32"/>
          <w:shd w:val="clear" w:color="auto" w:fill="auto"/>
        </w:rPr>
        <w:t>万元，占本年支出</w:t>
      </w:r>
      <w:r>
        <w:rPr>
          <w:rFonts w:hint="eastAsia" w:ascii="Times New Roman" w:hAnsi="Times New Roman" w:eastAsia="方正仿宋_GBK" w:cs="方正仿宋_GBK"/>
          <w:spacing w:val="-3"/>
          <w:sz w:val="32"/>
          <w:shd w:val="clear" w:color="auto" w:fill="auto"/>
          <w:lang w:val="en-US" w:eastAsia="zh-CN"/>
        </w:rPr>
        <w:t>0</w:t>
      </w:r>
      <w:r>
        <w:rPr>
          <w:rFonts w:hint="eastAsia" w:ascii="Times New Roman" w:hAnsi="Times New Roman" w:eastAsia="方正仿宋_GBK" w:cs="方正仿宋_GBK"/>
          <w:spacing w:val="-3"/>
          <w:sz w:val="32"/>
          <w:shd w:val="clear" w:color="auto" w:fill="auto"/>
        </w:rPr>
        <w:t>%</w:t>
      </w:r>
      <w:r>
        <w:rPr>
          <w:rFonts w:hint="eastAsia" w:ascii="Times New Roman" w:hAnsi="Times New Roman" w:eastAsia="方正仿宋_GBK" w:cs="方正仿宋_GBK"/>
          <w:spacing w:val="-3"/>
          <w:sz w:val="32"/>
          <w:shd w:val="clear" w:color="auto" w:fill="auto"/>
          <w:lang w:eastAsia="zh-CN"/>
        </w:rPr>
        <w:t>；</w:t>
      </w:r>
      <w:r>
        <w:rPr>
          <w:rFonts w:hint="eastAsia" w:ascii="Times New Roman" w:hAnsi="Times New Roman" w:eastAsia="方正仿宋_GBK" w:cs="方正仿宋_GBK"/>
          <w:spacing w:val="-3"/>
          <w:sz w:val="32"/>
          <w:shd w:val="clear" w:color="auto" w:fill="auto"/>
        </w:rPr>
        <w:t>经营支出</w:t>
      </w:r>
      <w:r>
        <w:rPr>
          <w:rFonts w:hint="eastAsia" w:ascii="Times New Roman" w:hAnsi="Times New Roman" w:eastAsia="方正仿宋_GBK" w:cs="方正仿宋_GBK"/>
          <w:spacing w:val="-3"/>
          <w:sz w:val="32"/>
          <w:shd w:val="clear" w:color="auto" w:fill="auto"/>
          <w:lang w:val="en-US" w:eastAsia="zh-CN"/>
        </w:rPr>
        <w:t>0</w:t>
      </w:r>
      <w:r>
        <w:rPr>
          <w:rFonts w:hint="eastAsia" w:ascii="Times New Roman" w:hAnsi="Times New Roman" w:eastAsia="方正仿宋_GBK" w:cs="方正仿宋_GBK"/>
          <w:spacing w:val="-3"/>
          <w:sz w:val="32"/>
          <w:shd w:val="clear" w:color="auto" w:fill="auto"/>
        </w:rPr>
        <w:t>万元，占本年支出</w:t>
      </w:r>
      <w:r>
        <w:rPr>
          <w:rFonts w:hint="eastAsia" w:ascii="Times New Roman" w:hAnsi="Times New Roman" w:eastAsia="方正仿宋_GBK" w:cs="方正仿宋_GBK"/>
          <w:spacing w:val="-3"/>
          <w:sz w:val="32"/>
          <w:shd w:val="clear" w:color="auto" w:fill="auto"/>
          <w:lang w:val="en-US" w:eastAsia="zh-CN"/>
        </w:rPr>
        <w:t>0</w:t>
      </w:r>
      <w:r>
        <w:rPr>
          <w:rFonts w:hint="eastAsia" w:ascii="Times New Roman" w:hAnsi="Times New Roman" w:eastAsia="方正仿宋_GBK" w:cs="方正仿宋_GBK"/>
          <w:spacing w:val="-3"/>
          <w:sz w:val="32"/>
          <w:shd w:val="clear" w:color="auto" w:fill="auto"/>
        </w:rPr>
        <w:t>%。</w:t>
      </w:r>
    </w:p>
    <w:p w14:paraId="0F551FDB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210" w:line="341" w:lineRule="auto"/>
        <w:ind w:left="0" w:firstLine="641"/>
        <w:jc w:val="both"/>
        <w:textAlignment w:val="baseline"/>
        <w:rPr>
          <w:spacing w:val="-6"/>
          <w:highlight w:val="none"/>
        </w:rPr>
      </w:pPr>
      <w:r>
        <w:drawing>
          <wp:inline distT="0" distB="0" distL="114300" distR="114300">
            <wp:extent cx="3917315" cy="2345055"/>
            <wp:effectExtent l="4445" t="4445" r="21590" b="12700"/>
            <wp:docPr id="4" name="图表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  <w:bookmarkStart w:id="0" w:name="_GoBack"/>
      <w:bookmarkEnd w:id="0"/>
    </w:p>
    <w:p w14:paraId="4E775B5F">
      <w:pPr>
        <w:keepNext w:val="0"/>
        <w:keepLines w:val="0"/>
        <w:pageBreakBefore w:val="0"/>
        <w:widowControl/>
        <w:numPr>
          <w:ilvl w:val="0"/>
          <w:numId w:val="2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04" w:line="560" w:lineRule="exact"/>
        <w:ind w:left="658"/>
        <w:jc w:val="both"/>
        <w:textAlignment w:val="baseline"/>
        <w:rPr>
          <w:rFonts w:ascii="黑体" w:hAnsi="黑体" w:eastAsia="黑体" w:cs="黑体"/>
          <w:spacing w:val="-2"/>
          <w:sz w:val="32"/>
          <w:szCs w:val="32"/>
        </w:rPr>
      </w:pPr>
      <w:r>
        <w:rPr>
          <w:rFonts w:ascii="黑体" w:hAnsi="黑体" w:eastAsia="黑体" w:cs="黑体"/>
          <w:spacing w:val="-2"/>
          <w:sz w:val="32"/>
          <w:szCs w:val="32"/>
        </w:rPr>
        <w:t>财政拨款收入支出决算总体情况说明</w:t>
      </w:r>
    </w:p>
    <w:p w14:paraId="14E2B198">
      <w:pPr>
        <w:keepNext w:val="0"/>
        <w:keepLines w:val="0"/>
        <w:pageBreakBefore w:val="0"/>
        <w:widowControl/>
        <w:numPr>
          <w:ilvl w:val="0"/>
          <w:numId w:val="0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04" w:line="560" w:lineRule="exact"/>
        <w:ind w:firstLine="628" w:firstLineChars="200"/>
        <w:jc w:val="both"/>
        <w:textAlignment w:val="baseline"/>
        <w:rPr>
          <w:rFonts w:hint="eastAsia" w:ascii="Times New Roman" w:hAnsi="Times New Roman" w:eastAsia="方正仿宋_GBK" w:cs="方正仿宋_GBK"/>
          <w:spacing w:val="-3"/>
          <w:sz w:val="32"/>
          <w:shd w:val="clear" w:color="auto" w:fill="auto"/>
          <w:lang w:val="en-US" w:eastAsia="zh-CN"/>
        </w:rPr>
      </w:pPr>
      <w:r>
        <w:rPr>
          <w:rFonts w:hint="eastAsia" w:ascii="Times New Roman" w:hAnsi="Times New Roman" w:eastAsia="方正仿宋_GBK" w:cs="方正仿宋_GBK"/>
          <w:spacing w:val="-3"/>
          <w:sz w:val="32"/>
          <w:shd w:val="clear" w:color="auto" w:fill="auto"/>
        </w:rPr>
        <w:t>2023年度财政拨款收、支总计4,727.16万元。与2022年度相比，财政拨款收、支总计各增加</w:t>
      </w:r>
      <w:r>
        <w:rPr>
          <w:rFonts w:hint="eastAsia" w:ascii="Times New Roman" w:hAnsi="Times New Roman" w:eastAsia="方正仿宋_GBK" w:cs="方正仿宋_GBK"/>
          <w:spacing w:val="-3"/>
          <w:sz w:val="32"/>
          <w:shd w:val="clear" w:color="auto" w:fill="auto"/>
          <w:lang w:val="en-US" w:eastAsia="zh-CN"/>
        </w:rPr>
        <w:t>553.28</w:t>
      </w:r>
      <w:r>
        <w:rPr>
          <w:rFonts w:hint="eastAsia" w:ascii="Times New Roman" w:hAnsi="Times New Roman" w:eastAsia="方正仿宋_GBK" w:cs="方正仿宋_GBK"/>
          <w:spacing w:val="-3"/>
          <w:sz w:val="32"/>
          <w:shd w:val="clear" w:color="auto" w:fill="auto"/>
        </w:rPr>
        <w:t>万元，增长</w:t>
      </w:r>
      <w:r>
        <w:rPr>
          <w:rFonts w:hint="eastAsia" w:ascii="Times New Roman" w:hAnsi="Times New Roman" w:eastAsia="方正仿宋_GBK" w:cs="方正仿宋_GBK"/>
          <w:spacing w:val="-3"/>
          <w:sz w:val="32"/>
          <w:shd w:val="clear" w:color="auto" w:fill="auto"/>
          <w:lang w:val="en-US" w:eastAsia="zh-CN"/>
        </w:rPr>
        <w:t>13.26</w:t>
      </w:r>
      <w:r>
        <w:rPr>
          <w:rFonts w:hint="eastAsia" w:ascii="Times New Roman" w:hAnsi="Times New Roman" w:eastAsia="方正仿宋_GBK" w:cs="方正仿宋_GBK"/>
          <w:spacing w:val="-3"/>
          <w:sz w:val="32"/>
          <w:shd w:val="clear" w:color="auto" w:fill="auto"/>
        </w:rPr>
        <w:t>%。主要原因是地方财政加大了对江岸区消防事业的经费投入，保障了消防救援干部、消防员、专职消防员及文员的人员经</w:t>
      </w:r>
      <w:r>
        <w:rPr>
          <w:rFonts w:hint="eastAsia" w:ascii="Times New Roman" w:hAnsi="Times New Roman" w:eastAsia="方正仿宋_GBK" w:cs="方正仿宋_GBK"/>
          <w:spacing w:val="-3"/>
          <w:sz w:val="32"/>
          <w:shd w:val="clear" w:color="auto" w:fill="auto"/>
          <w:lang w:val="en-US" w:eastAsia="zh-CN"/>
        </w:rPr>
        <w:t>费。</w:t>
      </w:r>
    </w:p>
    <w:p w14:paraId="115A82F5">
      <w:pPr>
        <w:keepNext w:val="0"/>
        <w:keepLines w:val="0"/>
        <w:pageBreakBefore w:val="0"/>
        <w:widowControl/>
        <w:numPr>
          <w:ilvl w:val="0"/>
          <w:numId w:val="0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04" w:line="560" w:lineRule="exact"/>
        <w:ind w:firstLine="628" w:firstLineChars="200"/>
        <w:jc w:val="both"/>
        <w:textAlignment w:val="baseline"/>
        <w:rPr>
          <w:rFonts w:hint="eastAsia" w:ascii="Times New Roman" w:hAnsi="Times New Roman" w:eastAsia="方正仿宋_GBK" w:cs="方正仿宋_GBK"/>
          <w:spacing w:val="-3"/>
          <w:sz w:val="32"/>
          <w:shd w:val="clear" w:color="auto" w:fill="auto"/>
        </w:rPr>
      </w:pPr>
      <w:r>
        <w:rPr>
          <w:rFonts w:hint="eastAsia" w:ascii="Times New Roman" w:hAnsi="Times New Roman" w:eastAsia="方正仿宋_GBK" w:cs="方正仿宋_GBK"/>
          <w:spacing w:val="-3"/>
          <w:sz w:val="32"/>
          <w:shd w:val="clear" w:color="auto" w:fill="auto"/>
        </w:rPr>
        <w:t>2023年度财政拨款收入中，一般公共预算财政拨款收入万元，比2022年度决算数增加</w:t>
      </w:r>
      <w:r>
        <w:rPr>
          <w:rFonts w:hint="eastAsia" w:ascii="Times New Roman" w:hAnsi="Times New Roman" w:eastAsia="方正仿宋_GBK" w:cs="方正仿宋_GBK"/>
          <w:spacing w:val="-3"/>
          <w:sz w:val="32"/>
          <w:shd w:val="clear" w:color="auto" w:fill="auto"/>
          <w:lang w:val="en-US" w:eastAsia="zh-CN"/>
        </w:rPr>
        <w:t>553.28</w:t>
      </w:r>
      <w:r>
        <w:rPr>
          <w:rFonts w:hint="eastAsia" w:ascii="Times New Roman" w:hAnsi="Times New Roman" w:eastAsia="方正仿宋_GBK" w:cs="方正仿宋_GBK"/>
          <w:spacing w:val="-3"/>
          <w:sz w:val="32"/>
          <w:shd w:val="clear" w:color="auto" w:fill="auto"/>
        </w:rPr>
        <w:t>万元。增加主要原因是专职消防员、干部及国家队消防员部分人员经费由区级财政负担，人员经费保障增加；新建塔子湖消防站项目开展。政府性基金预算财政拨款收入</w:t>
      </w:r>
      <w:r>
        <w:rPr>
          <w:rFonts w:hint="eastAsia" w:ascii="Times New Roman" w:hAnsi="Times New Roman" w:eastAsia="方正仿宋_GBK" w:cs="方正仿宋_GBK"/>
          <w:spacing w:val="-3"/>
          <w:sz w:val="32"/>
          <w:shd w:val="clear" w:color="auto" w:fill="auto"/>
          <w:lang w:val="en-US" w:eastAsia="zh-CN"/>
        </w:rPr>
        <w:t>0</w:t>
      </w:r>
      <w:r>
        <w:rPr>
          <w:rFonts w:hint="eastAsia" w:ascii="Times New Roman" w:hAnsi="Times New Roman" w:eastAsia="方正仿宋_GBK" w:cs="方正仿宋_GBK"/>
          <w:spacing w:val="-3"/>
          <w:sz w:val="32"/>
          <w:shd w:val="clear" w:color="auto" w:fill="auto"/>
        </w:rPr>
        <w:t>万元，比2022年度决算数增加</w:t>
      </w:r>
      <w:r>
        <w:rPr>
          <w:rFonts w:hint="eastAsia" w:ascii="Times New Roman" w:hAnsi="Times New Roman" w:eastAsia="方正仿宋_GBK" w:cs="方正仿宋_GBK"/>
          <w:spacing w:val="-3"/>
          <w:sz w:val="32"/>
          <w:shd w:val="clear" w:color="auto" w:fill="auto"/>
          <w:lang w:val="en-US" w:eastAsia="zh-CN"/>
        </w:rPr>
        <w:t>0</w:t>
      </w:r>
      <w:r>
        <w:rPr>
          <w:rFonts w:hint="eastAsia" w:ascii="Times New Roman" w:hAnsi="Times New Roman" w:eastAsia="方正仿宋_GBK" w:cs="方正仿宋_GBK"/>
          <w:spacing w:val="-3"/>
          <w:sz w:val="32"/>
          <w:shd w:val="clear" w:color="auto" w:fill="auto"/>
        </w:rPr>
        <w:t>万元。国有资本经营预算财政拨款收入</w:t>
      </w:r>
      <w:r>
        <w:rPr>
          <w:rFonts w:hint="eastAsia" w:ascii="Times New Roman" w:hAnsi="Times New Roman" w:eastAsia="方正仿宋_GBK" w:cs="方正仿宋_GBK"/>
          <w:spacing w:val="-3"/>
          <w:sz w:val="32"/>
          <w:shd w:val="clear" w:color="auto" w:fill="auto"/>
          <w:lang w:val="en-US" w:eastAsia="zh-CN"/>
        </w:rPr>
        <w:t>0</w:t>
      </w:r>
      <w:r>
        <w:rPr>
          <w:rFonts w:hint="eastAsia" w:ascii="Times New Roman" w:hAnsi="Times New Roman" w:eastAsia="方正仿宋_GBK" w:cs="方正仿宋_GBK"/>
          <w:spacing w:val="-3"/>
          <w:sz w:val="32"/>
          <w:shd w:val="clear" w:color="auto" w:fill="auto"/>
        </w:rPr>
        <w:t>万元，比2022年度决算数增加</w:t>
      </w:r>
      <w:r>
        <w:rPr>
          <w:rFonts w:hint="eastAsia" w:ascii="Times New Roman" w:hAnsi="Times New Roman" w:eastAsia="方正仿宋_GBK" w:cs="方正仿宋_GBK"/>
          <w:spacing w:val="-3"/>
          <w:sz w:val="32"/>
          <w:shd w:val="clear" w:color="auto" w:fill="auto"/>
          <w:lang w:val="en-US" w:eastAsia="zh-CN"/>
        </w:rPr>
        <w:t>0</w:t>
      </w:r>
      <w:r>
        <w:rPr>
          <w:rFonts w:hint="eastAsia" w:ascii="Times New Roman" w:hAnsi="Times New Roman" w:eastAsia="方正仿宋_GBK" w:cs="方正仿宋_GBK"/>
          <w:spacing w:val="-3"/>
          <w:sz w:val="32"/>
          <w:shd w:val="clear" w:color="auto" w:fill="auto"/>
        </w:rPr>
        <w:t>万元。</w:t>
      </w:r>
    </w:p>
    <w:p w14:paraId="7684DAAE">
      <w:pPr>
        <w:keepNext w:val="0"/>
        <w:keepLines w:val="0"/>
        <w:pageBreakBefore w:val="0"/>
        <w:widowControl/>
        <w:numPr>
          <w:ilvl w:val="0"/>
          <w:numId w:val="2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04" w:line="560" w:lineRule="exact"/>
        <w:ind w:left="658" w:leftChars="0" w:firstLine="0" w:firstLineChars="0"/>
        <w:jc w:val="both"/>
        <w:textAlignment w:val="baseline"/>
        <w:outlineLvl w:val="0"/>
        <w:rPr>
          <w:rFonts w:ascii="Times New Roman" w:hAnsi="Times New Roman" w:eastAsia="黑体" w:cs="黑体"/>
          <w:spacing w:val="-1"/>
          <w:sz w:val="32"/>
          <w:szCs w:val="32"/>
        </w:rPr>
      </w:pPr>
      <w:r>
        <w:rPr>
          <w:rFonts w:ascii="Times New Roman" w:hAnsi="Times New Roman" w:eastAsia="黑体" w:cs="黑体"/>
          <w:spacing w:val="-1"/>
          <w:sz w:val="32"/>
          <w:szCs w:val="32"/>
        </w:rPr>
        <w:t>一般公共预算财政拨款支出决算情况说明</w:t>
      </w:r>
    </w:p>
    <w:p w14:paraId="49D70ED7">
      <w:pPr>
        <w:keepNext w:val="0"/>
        <w:keepLines w:val="0"/>
        <w:pageBreakBefore w:val="0"/>
        <w:widowControl/>
        <w:numPr>
          <w:ilvl w:val="0"/>
          <w:numId w:val="0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04" w:line="560" w:lineRule="exact"/>
        <w:ind w:firstLine="631" w:firstLineChars="200"/>
        <w:jc w:val="both"/>
        <w:textAlignment w:val="baseline"/>
        <w:outlineLvl w:val="0"/>
        <w:rPr>
          <w:rFonts w:ascii="Times New Roman" w:hAnsi="Times New Roman" w:eastAsia="方正仿宋_GBK" w:cs="楷体"/>
          <w:sz w:val="32"/>
          <w:szCs w:val="32"/>
          <w:shd w:val="clear" w:color="auto" w:fill="auto"/>
        </w:rPr>
      </w:pPr>
      <w:r>
        <w:rPr>
          <w:rFonts w:hint="eastAsia" w:ascii="Times New Roman" w:hAnsi="Times New Roman" w:eastAsia="方正仿宋_GBK" w:cs="楷体"/>
          <w:b/>
          <w:bCs/>
          <w:spacing w:val="-3"/>
          <w:sz w:val="32"/>
          <w:szCs w:val="32"/>
          <w:shd w:val="clear" w:color="auto" w:fill="auto"/>
          <w:lang w:val="en-US" w:eastAsia="zh-CN"/>
        </w:rPr>
        <w:t>（一）</w:t>
      </w:r>
      <w:r>
        <w:rPr>
          <w:rFonts w:hint="eastAsia" w:ascii="Times New Roman" w:hAnsi="Times New Roman" w:eastAsia="方正仿宋_GBK" w:cs="楷体"/>
          <w:b/>
          <w:bCs/>
          <w:spacing w:val="-3"/>
          <w:sz w:val="32"/>
          <w:szCs w:val="32"/>
          <w:shd w:val="clear" w:color="auto" w:fill="auto"/>
          <w:lang w:val="en-US" w:eastAsia="en-US"/>
        </w:rPr>
        <w:t>一</w:t>
      </w:r>
      <w:r>
        <w:rPr>
          <w:rFonts w:hint="eastAsia" w:ascii="Times New Roman" w:hAnsi="Times New Roman" w:eastAsia="方正仿宋_GBK" w:cs="方正仿宋_GBK"/>
          <w:b/>
          <w:bCs/>
          <w:snapToGrid w:val="0"/>
          <w:color w:val="000000"/>
          <w:spacing w:val="-5"/>
          <w:kern w:val="0"/>
          <w:sz w:val="32"/>
          <w:szCs w:val="32"/>
          <w:highlight w:val="none"/>
          <w:shd w:val="clear" w:color="auto" w:fill="auto"/>
          <w:lang w:val="en-US" w:eastAsia="en-US" w:bidi="ar-SA"/>
        </w:rPr>
        <w:t>般公共预算财政拨款支出决算总体情况</w:t>
      </w:r>
    </w:p>
    <w:p w14:paraId="7AC89D9C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217" w:line="560" w:lineRule="exact"/>
        <w:ind w:firstLine="628" w:firstLineChars="200"/>
        <w:jc w:val="both"/>
        <w:textAlignment w:val="baseline"/>
        <w:rPr>
          <w:rFonts w:hint="default" w:ascii="Times New Roman" w:hAnsi="Times New Roman" w:eastAsia="方正仿宋_GBK"/>
          <w:sz w:val="32"/>
          <w:shd w:val="clear" w:color="auto" w:fill="auto"/>
          <w:lang w:val="en-US"/>
        </w:rPr>
      </w:pPr>
      <w:r>
        <w:rPr>
          <w:rFonts w:hint="eastAsia" w:ascii="Times New Roman" w:hAnsi="Times New Roman" w:eastAsia="方正仿宋_GBK" w:cs="方正仿宋_GBK"/>
          <w:spacing w:val="-3"/>
          <w:sz w:val="32"/>
          <w:shd w:val="clear" w:color="auto" w:fill="auto"/>
        </w:rPr>
        <w:t>2023年度一般公共预算财政拨款支出</w:t>
      </w:r>
      <w:r>
        <w:rPr>
          <w:rFonts w:hint="eastAsia" w:ascii="Times New Roman" w:hAnsi="Times New Roman" w:eastAsia="方正仿宋_GBK" w:cs="方正仿宋_GBK"/>
          <w:spacing w:val="4"/>
          <w:sz w:val="32"/>
          <w:highlight w:val="none"/>
          <w:u w:val="single" w:color="auto"/>
          <w:shd w:val="clear" w:color="auto" w:fill="auto"/>
        </w:rPr>
        <w:t>4,727.16</w:t>
      </w:r>
      <w:r>
        <w:rPr>
          <w:rFonts w:hint="eastAsia" w:ascii="Times New Roman" w:hAnsi="Times New Roman" w:eastAsia="方正仿宋_GBK" w:cs="方正仿宋_GBK"/>
          <w:spacing w:val="-4"/>
          <w:sz w:val="32"/>
          <w:shd w:val="clear" w:color="auto" w:fill="auto"/>
        </w:rPr>
        <w:t>万元，占</w:t>
      </w:r>
      <w:r>
        <w:rPr>
          <w:rFonts w:hint="eastAsia" w:ascii="Times New Roman" w:hAnsi="Times New Roman" w:eastAsia="方正仿宋_GBK" w:cs="方正仿宋_GBK"/>
          <w:spacing w:val="-5"/>
          <w:sz w:val="32"/>
          <w:shd w:val="clear" w:color="auto" w:fill="auto"/>
        </w:rPr>
        <w:t>本年支出合计的</w:t>
      </w:r>
      <w:r>
        <w:rPr>
          <w:rFonts w:hint="eastAsia" w:ascii="Times New Roman" w:hAnsi="Times New Roman" w:eastAsia="方正仿宋_GBK" w:cs="方正仿宋_GBK"/>
          <w:spacing w:val="-5"/>
          <w:sz w:val="32"/>
          <w:u w:val="single" w:color="auto"/>
          <w:shd w:val="clear" w:color="auto" w:fill="auto"/>
          <w:lang w:val="en-US" w:eastAsia="zh-CN"/>
        </w:rPr>
        <w:t>100.00</w:t>
      </w:r>
      <w:r>
        <w:rPr>
          <w:rFonts w:hint="eastAsia" w:ascii="Times New Roman" w:hAnsi="Times New Roman" w:eastAsia="方正仿宋_GBK" w:cs="方正仿宋_GBK"/>
          <w:spacing w:val="-5"/>
          <w:sz w:val="32"/>
          <w:shd w:val="clear" w:color="auto" w:fill="auto"/>
        </w:rPr>
        <w:t>%。与2022年度相比，一般公共预算财政</w:t>
      </w:r>
      <w:r>
        <w:rPr>
          <w:rFonts w:hint="eastAsia" w:ascii="Times New Roman" w:hAnsi="Times New Roman" w:eastAsia="方正仿宋_GBK" w:cs="方正仿宋_GBK"/>
          <w:spacing w:val="-4"/>
          <w:sz w:val="32"/>
          <w:shd w:val="clear" w:color="auto" w:fill="auto"/>
        </w:rPr>
        <w:t>拨款支出增加</w:t>
      </w:r>
      <w:r>
        <w:rPr>
          <w:rFonts w:hint="eastAsia" w:ascii="Times New Roman" w:hAnsi="Times New Roman" w:eastAsia="方正仿宋_GBK" w:cs="方正仿宋_GBK"/>
          <w:sz w:val="32"/>
          <w:highlight w:val="none"/>
          <w:u w:val="single" w:color="auto"/>
          <w:shd w:val="clear" w:color="auto" w:fill="auto"/>
          <w:lang w:val="en-US" w:eastAsia="zh-CN"/>
        </w:rPr>
        <w:t>553.28</w:t>
      </w:r>
      <w:r>
        <w:rPr>
          <w:rFonts w:hint="eastAsia" w:ascii="Times New Roman" w:hAnsi="Times New Roman" w:eastAsia="方正仿宋_GBK" w:cs="方正仿宋_GBK"/>
          <w:spacing w:val="-4"/>
          <w:sz w:val="32"/>
          <w:shd w:val="clear" w:color="auto" w:fill="auto"/>
        </w:rPr>
        <w:t>万元，增长</w:t>
      </w:r>
      <w:r>
        <w:rPr>
          <w:rFonts w:hint="eastAsia" w:ascii="Times New Roman" w:hAnsi="Times New Roman" w:eastAsia="方正仿宋_GBK" w:cs="方正仿宋_GBK"/>
          <w:spacing w:val="-4"/>
          <w:sz w:val="32"/>
          <w:u w:val="single" w:color="auto"/>
          <w:shd w:val="clear" w:color="auto" w:fill="auto"/>
          <w:lang w:val="en-US" w:eastAsia="zh-CN"/>
        </w:rPr>
        <w:t>13.26</w:t>
      </w:r>
      <w:r>
        <w:rPr>
          <w:rFonts w:hint="eastAsia" w:ascii="Times New Roman" w:hAnsi="Times New Roman" w:eastAsia="方正仿宋_GBK" w:cs="方正仿宋_GBK"/>
          <w:spacing w:val="-4"/>
          <w:sz w:val="32"/>
          <w:shd w:val="clear" w:color="auto" w:fill="auto"/>
        </w:rPr>
        <w:t>%</w:t>
      </w:r>
      <w:r>
        <w:rPr>
          <w:rFonts w:hint="eastAsia" w:ascii="Times New Roman" w:hAnsi="Times New Roman" w:eastAsia="方正仿宋_GBK" w:cs="方正仿宋_GBK"/>
          <w:spacing w:val="-5"/>
          <w:sz w:val="32"/>
          <w:shd w:val="clear" w:color="auto" w:fill="auto"/>
        </w:rPr>
        <w:t>。主要</w:t>
      </w:r>
      <w:r>
        <w:rPr>
          <w:rFonts w:hint="eastAsia" w:ascii="Times New Roman" w:hAnsi="Times New Roman" w:eastAsia="方正仿宋_GBK" w:cs="方正仿宋_GBK"/>
          <w:spacing w:val="-10"/>
          <w:sz w:val="32"/>
          <w:shd w:val="clear" w:color="auto" w:fill="auto"/>
        </w:rPr>
        <w:t>原因是</w:t>
      </w:r>
      <w:r>
        <w:rPr>
          <w:rFonts w:hint="eastAsia" w:ascii="Times New Roman" w:hAnsi="Times New Roman" w:eastAsia="方正仿宋_GBK" w:cs="方正仿宋_GBK"/>
          <w:spacing w:val="-10"/>
          <w:sz w:val="32"/>
          <w:shd w:val="clear" w:color="auto" w:fill="auto"/>
          <w:lang w:val="en-US" w:eastAsia="zh-CN"/>
        </w:rPr>
        <w:t>专职消防员人数增多，人员经费保障标准增高；新建塔子湖消防站，建站支出增加。</w:t>
      </w:r>
    </w:p>
    <w:p w14:paraId="7FD0948E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216" w:line="560" w:lineRule="exact"/>
        <w:ind w:left="708" w:firstLine="0"/>
        <w:jc w:val="both"/>
        <w:textAlignment w:val="baseline"/>
        <w:outlineLvl w:val="1"/>
        <w:rPr>
          <w:rFonts w:hint="eastAsia" w:ascii="Times New Roman" w:hAnsi="Times New Roman" w:eastAsia="方正仿宋_GBK" w:cs="方正仿宋_GBK"/>
          <w:b/>
          <w:bCs/>
          <w:snapToGrid w:val="0"/>
          <w:color w:val="000000"/>
          <w:spacing w:val="-5"/>
          <w:kern w:val="0"/>
          <w:sz w:val="32"/>
          <w:szCs w:val="32"/>
          <w:highlight w:val="none"/>
          <w:shd w:val="clear" w:color="auto" w:fill="auto"/>
          <w:lang w:val="en-US" w:eastAsia="en-US" w:bidi="ar-SA"/>
        </w:rPr>
      </w:pPr>
      <w:r>
        <w:rPr>
          <w:rFonts w:hint="eastAsia" w:ascii="Times New Roman" w:hAnsi="Times New Roman" w:eastAsia="方正仿宋_GBK" w:cs="方正仿宋_GBK"/>
          <w:b/>
          <w:bCs/>
          <w:snapToGrid w:val="0"/>
          <w:color w:val="000000"/>
          <w:spacing w:val="-5"/>
          <w:kern w:val="0"/>
          <w:sz w:val="32"/>
          <w:szCs w:val="32"/>
          <w:highlight w:val="none"/>
          <w:shd w:val="clear" w:color="auto" w:fill="auto"/>
          <w:lang w:val="en-US" w:eastAsia="zh-CN" w:bidi="ar-SA"/>
        </w:rPr>
        <w:t>（二）</w:t>
      </w:r>
      <w:r>
        <w:rPr>
          <w:rFonts w:hint="eastAsia" w:ascii="Times New Roman" w:hAnsi="Times New Roman" w:eastAsia="方正仿宋_GBK" w:cs="方正仿宋_GBK"/>
          <w:b/>
          <w:bCs/>
          <w:snapToGrid w:val="0"/>
          <w:color w:val="000000"/>
          <w:spacing w:val="-5"/>
          <w:kern w:val="0"/>
          <w:sz w:val="32"/>
          <w:szCs w:val="32"/>
          <w:highlight w:val="none"/>
          <w:shd w:val="clear" w:color="auto" w:fill="auto"/>
          <w:lang w:val="en-US" w:eastAsia="en-US" w:bidi="ar-SA"/>
        </w:rPr>
        <w:t>一般公共预算财政拨款支出决算结构情况</w:t>
      </w:r>
    </w:p>
    <w:p w14:paraId="36EAED98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218" w:line="560" w:lineRule="exact"/>
        <w:ind w:left="2" w:firstLine="628" w:firstLineChars="200"/>
        <w:jc w:val="both"/>
        <w:textAlignment w:val="baseline"/>
        <w:rPr>
          <w:rFonts w:ascii="Times New Roman" w:hAnsi="Times New Roman" w:eastAsia="方正仿宋_GBK"/>
          <w:sz w:val="32"/>
          <w:shd w:val="clear" w:color="auto" w:fill="auto"/>
        </w:rPr>
      </w:pPr>
      <w:r>
        <w:rPr>
          <w:rFonts w:ascii="Times New Roman" w:hAnsi="Times New Roman" w:eastAsia="方正仿宋_GBK"/>
          <w:spacing w:val="-3"/>
          <w:sz w:val="32"/>
          <w:shd w:val="clear" w:color="auto" w:fill="auto"/>
        </w:rPr>
        <w:t>2023年度一般公共预算财政拨款支出</w:t>
      </w:r>
      <w:r>
        <w:rPr>
          <w:rFonts w:hint="eastAsia" w:ascii="Times New Roman" w:hAnsi="Times New Roman" w:eastAsia="方正仿宋_GBK"/>
          <w:spacing w:val="4"/>
          <w:sz w:val="32"/>
          <w:highlight w:val="none"/>
          <w:u w:val="single" w:color="auto"/>
          <w:shd w:val="clear" w:color="auto" w:fill="auto"/>
        </w:rPr>
        <w:t>4,727.16</w:t>
      </w:r>
      <w:r>
        <w:rPr>
          <w:rFonts w:ascii="Times New Roman" w:hAnsi="Times New Roman" w:eastAsia="方正仿宋_GBK"/>
          <w:spacing w:val="-4"/>
          <w:sz w:val="32"/>
          <w:shd w:val="clear" w:color="auto" w:fill="auto"/>
        </w:rPr>
        <w:t>万元，主要</w:t>
      </w:r>
      <w:r>
        <w:rPr>
          <w:rFonts w:ascii="Times New Roman" w:hAnsi="Times New Roman" w:eastAsia="方正仿宋_GBK"/>
          <w:spacing w:val="-2"/>
          <w:sz w:val="32"/>
          <w:shd w:val="clear" w:color="auto" w:fill="auto"/>
        </w:rPr>
        <w:t>用于以下方面：</w:t>
      </w:r>
    </w:p>
    <w:p w14:paraId="7689285E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50" w:line="560" w:lineRule="exact"/>
        <w:ind w:left="12" w:firstLine="628" w:firstLineChars="200"/>
        <w:jc w:val="both"/>
        <w:textAlignment w:val="baseline"/>
        <w:rPr>
          <w:rFonts w:hint="eastAsia" w:ascii="Times New Roman" w:hAnsi="Times New Roman" w:eastAsia="方正仿宋_GBK"/>
          <w:spacing w:val="-108"/>
          <w:sz w:val="32"/>
          <w:shd w:val="clear" w:color="auto" w:fill="auto"/>
          <w:lang w:eastAsia="zh-CN"/>
        </w:rPr>
      </w:pPr>
      <w:r>
        <w:rPr>
          <w:rFonts w:ascii="Times New Roman" w:hAnsi="Times New Roman" w:eastAsia="方正仿宋_GBK"/>
          <w:spacing w:val="-3"/>
          <w:sz w:val="32"/>
          <w:shd w:val="clear" w:color="auto" w:fill="auto"/>
        </w:rPr>
        <w:t>1.</w:t>
      </w:r>
      <w:r>
        <w:rPr>
          <w:rFonts w:hint="eastAsia" w:ascii="Times New Roman" w:hAnsi="Times New Roman" w:eastAsia="方正仿宋_GBK"/>
          <w:spacing w:val="-3"/>
          <w:sz w:val="32"/>
          <w:shd w:val="clear" w:color="auto" w:fill="auto"/>
          <w:lang w:eastAsia="zh-CN"/>
        </w:rPr>
        <w:t>卫生健康</w:t>
      </w:r>
      <w:r>
        <w:rPr>
          <w:rFonts w:ascii="Times New Roman" w:hAnsi="Times New Roman" w:eastAsia="方正仿宋_GBK"/>
          <w:spacing w:val="-3"/>
          <w:sz w:val="32"/>
          <w:shd w:val="clear" w:color="auto" w:fill="auto"/>
        </w:rPr>
        <w:t>支出</w:t>
      </w:r>
      <w:r>
        <w:rPr>
          <w:rFonts w:hint="eastAsia" w:ascii="Times New Roman" w:hAnsi="Times New Roman" w:eastAsia="方正仿宋_GBK"/>
          <w:spacing w:val="-3"/>
          <w:sz w:val="32"/>
          <w:u w:val="single" w:color="auto"/>
          <w:shd w:val="clear" w:color="auto" w:fill="auto"/>
          <w:lang w:val="en-US" w:eastAsia="zh-CN"/>
        </w:rPr>
        <w:t>77.06</w:t>
      </w:r>
      <w:r>
        <w:rPr>
          <w:rFonts w:ascii="Times New Roman" w:hAnsi="Times New Roman" w:eastAsia="方正仿宋_GBK"/>
          <w:spacing w:val="-3"/>
          <w:sz w:val="32"/>
          <w:shd w:val="clear" w:color="auto" w:fill="auto"/>
        </w:rPr>
        <w:t>万元，占</w:t>
      </w:r>
      <w:r>
        <w:rPr>
          <w:rFonts w:hint="eastAsia" w:ascii="Times New Roman" w:hAnsi="Times New Roman" w:eastAsia="方正仿宋_GBK"/>
          <w:spacing w:val="-3"/>
          <w:sz w:val="32"/>
          <w:u w:val="single" w:color="auto"/>
          <w:shd w:val="clear" w:color="auto" w:fill="auto"/>
          <w:lang w:val="en-US" w:eastAsia="zh-CN"/>
        </w:rPr>
        <w:t>1.63</w:t>
      </w:r>
      <w:r>
        <w:rPr>
          <w:rFonts w:ascii="Times New Roman" w:hAnsi="Times New Roman" w:eastAsia="方正仿宋_GBK"/>
          <w:spacing w:val="-3"/>
          <w:sz w:val="32"/>
          <w:shd w:val="clear" w:color="auto" w:fill="auto"/>
        </w:rPr>
        <w:t>%。主</w:t>
      </w:r>
      <w:r>
        <w:rPr>
          <w:rFonts w:ascii="Times New Roman" w:hAnsi="Times New Roman" w:eastAsia="方正仿宋_GBK"/>
          <w:spacing w:val="-10"/>
          <w:sz w:val="32"/>
          <w:shd w:val="clear" w:color="auto" w:fill="auto"/>
        </w:rPr>
        <w:t>要是用于</w:t>
      </w:r>
      <w:r>
        <w:rPr>
          <w:rFonts w:hint="eastAsia" w:ascii="Times New Roman" w:hAnsi="Times New Roman" w:eastAsia="方正仿宋_GBK"/>
          <w:spacing w:val="-10"/>
          <w:sz w:val="32"/>
          <w:shd w:val="clear" w:color="auto" w:fill="auto"/>
          <w:lang w:eastAsia="zh-CN"/>
        </w:rPr>
        <w:t>消防救援人员医疗费支出。</w:t>
      </w:r>
    </w:p>
    <w:p w14:paraId="7119D8BC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50" w:line="560" w:lineRule="exact"/>
        <w:ind w:left="12" w:firstLine="616" w:firstLineChars="200"/>
        <w:jc w:val="both"/>
        <w:textAlignment w:val="baseline"/>
        <w:rPr>
          <w:rFonts w:hint="default" w:ascii="Times New Roman" w:hAnsi="Times New Roman" w:eastAsia="方正仿宋_GBK"/>
          <w:sz w:val="32"/>
          <w:shd w:val="clear" w:color="auto" w:fill="auto"/>
          <w:lang w:val="en-US" w:eastAsia="zh-CN"/>
        </w:rPr>
      </w:pPr>
      <w:r>
        <w:rPr>
          <w:rFonts w:ascii="Times New Roman" w:hAnsi="Times New Roman" w:eastAsia="方正仿宋_GBK"/>
          <w:spacing w:val="-6"/>
          <w:sz w:val="32"/>
          <w:shd w:val="clear" w:color="auto" w:fill="auto"/>
        </w:rPr>
        <w:t>2.</w:t>
      </w:r>
      <w:r>
        <w:rPr>
          <w:rFonts w:hint="eastAsia" w:ascii="Times New Roman" w:hAnsi="Times New Roman" w:eastAsia="方正仿宋_GBK"/>
          <w:spacing w:val="-6"/>
          <w:sz w:val="32"/>
          <w:shd w:val="clear" w:color="auto" w:fill="auto"/>
          <w:lang w:eastAsia="zh-CN"/>
        </w:rPr>
        <w:t>住房保障支出</w:t>
      </w:r>
      <w:r>
        <w:rPr>
          <w:rFonts w:hint="eastAsia" w:ascii="Times New Roman" w:hAnsi="Times New Roman" w:eastAsia="方正仿宋_GBK"/>
          <w:spacing w:val="-6"/>
          <w:sz w:val="32"/>
          <w:u w:val="single" w:color="auto"/>
          <w:shd w:val="clear" w:color="auto" w:fill="auto"/>
          <w:lang w:val="en-US" w:eastAsia="zh-CN"/>
        </w:rPr>
        <w:t>207.03</w:t>
      </w:r>
      <w:r>
        <w:rPr>
          <w:rFonts w:ascii="Times New Roman" w:hAnsi="Times New Roman" w:eastAsia="方正仿宋_GBK"/>
          <w:spacing w:val="-6"/>
          <w:sz w:val="32"/>
          <w:shd w:val="clear" w:color="auto" w:fill="auto"/>
        </w:rPr>
        <w:t>万元，占</w:t>
      </w:r>
      <w:r>
        <w:rPr>
          <w:rFonts w:hint="eastAsia" w:ascii="Times New Roman" w:hAnsi="Times New Roman" w:eastAsia="方正仿宋_GBK"/>
          <w:spacing w:val="-6"/>
          <w:sz w:val="32"/>
          <w:u w:val="single" w:color="auto"/>
          <w:shd w:val="clear" w:color="auto" w:fill="auto"/>
          <w:lang w:val="en-US" w:eastAsia="zh-CN"/>
        </w:rPr>
        <w:t>4.38</w:t>
      </w:r>
      <w:r>
        <w:rPr>
          <w:rFonts w:ascii="Times New Roman" w:hAnsi="Times New Roman" w:eastAsia="方正仿宋_GBK"/>
          <w:spacing w:val="-6"/>
          <w:sz w:val="32"/>
          <w:shd w:val="clear" w:color="auto" w:fill="auto"/>
        </w:rPr>
        <w:t>%。主要是</w:t>
      </w:r>
      <w:r>
        <w:rPr>
          <w:rFonts w:hint="eastAsia" w:ascii="Times New Roman" w:hAnsi="Times New Roman" w:eastAsia="方正仿宋_GBK"/>
          <w:spacing w:val="-6"/>
          <w:sz w:val="32"/>
          <w:shd w:val="clear" w:color="auto" w:fill="auto"/>
          <w:lang w:eastAsia="zh-CN"/>
        </w:rPr>
        <w:t>用于消防救援人员住房公积金支出。</w:t>
      </w:r>
    </w:p>
    <w:p w14:paraId="407AC92A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50" w:line="560" w:lineRule="exact"/>
        <w:ind w:left="12" w:firstLine="616" w:firstLineChars="200"/>
        <w:jc w:val="both"/>
        <w:textAlignment w:val="baseline"/>
        <w:rPr>
          <w:rFonts w:hint="eastAsia" w:ascii="Times New Roman" w:hAnsi="Times New Roman" w:eastAsia="方正仿宋_GBK"/>
          <w:spacing w:val="-6"/>
          <w:sz w:val="32"/>
          <w:shd w:val="clear" w:color="auto" w:fill="auto"/>
          <w:lang w:eastAsia="zh-CN"/>
        </w:rPr>
      </w:pPr>
      <w:r>
        <w:rPr>
          <w:rFonts w:ascii="Times New Roman" w:hAnsi="Times New Roman" w:eastAsia="方正仿宋_GBK"/>
          <w:spacing w:val="-6"/>
          <w:sz w:val="32"/>
          <w:shd w:val="clear" w:color="auto" w:fill="auto"/>
        </w:rPr>
        <w:t>3.</w:t>
      </w:r>
      <w:r>
        <w:rPr>
          <w:rFonts w:hint="eastAsia" w:ascii="Times New Roman" w:hAnsi="Times New Roman" w:eastAsia="方正仿宋_GBK"/>
          <w:spacing w:val="-6"/>
          <w:sz w:val="32"/>
          <w:shd w:val="clear" w:color="auto" w:fill="auto"/>
          <w:lang w:eastAsia="zh-CN"/>
        </w:rPr>
        <w:t>灾害防治及应急管理支出</w:t>
      </w:r>
      <w:r>
        <w:rPr>
          <w:rFonts w:hint="eastAsia" w:ascii="Times New Roman" w:hAnsi="Times New Roman" w:eastAsia="方正仿宋_GBK"/>
          <w:spacing w:val="-6"/>
          <w:sz w:val="32"/>
          <w:u w:val="single"/>
          <w:shd w:val="clear" w:color="auto" w:fill="auto"/>
          <w:lang w:val="en-US" w:eastAsia="zh-CN"/>
        </w:rPr>
        <w:t>4,443.07</w:t>
      </w:r>
      <w:r>
        <w:rPr>
          <w:rFonts w:hint="eastAsia" w:ascii="Times New Roman" w:hAnsi="Times New Roman" w:eastAsia="方正仿宋_GBK"/>
          <w:spacing w:val="-6"/>
          <w:sz w:val="32"/>
          <w:shd w:val="clear" w:color="auto" w:fill="auto"/>
          <w:lang w:val="en-US" w:eastAsia="zh-CN"/>
        </w:rPr>
        <w:t>万元，占</w:t>
      </w:r>
      <w:r>
        <w:rPr>
          <w:rFonts w:hint="eastAsia" w:ascii="Times New Roman" w:hAnsi="Times New Roman" w:eastAsia="方正仿宋_GBK"/>
          <w:spacing w:val="-6"/>
          <w:sz w:val="32"/>
          <w:u w:val="single" w:color="auto"/>
          <w:shd w:val="clear" w:color="auto" w:fill="auto"/>
          <w:lang w:val="en-US" w:eastAsia="zh-CN"/>
        </w:rPr>
        <w:t>93.99</w:t>
      </w:r>
      <w:r>
        <w:rPr>
          <w:rFonts w:hint="eastAsia" w:ascii="Times New Roman" w:hAnsi="Times New Roman" w:eastAsia="方正仿宋_GBK"/>
          <w:spacing w:val="-6"/>
          <w:sz w:val="32"/>
          <w:shd w:val="clear" w:color="auto" w:fill="auto"/>
          <w:lang w:val="en-US" w:eastAsia="zh-CN"/>
        </w:rPr>
        <w:t>%</w:t>
      </w:r>
      <w:r>
        <w:rPr>
          <w:rFonts w:ascii="Times New Roman" w:hAnsi="Times New Roman" w:eastAsia="方正仿宋_GBK"/>
          <w:spacing w:val="-6"/>
          <w:sz w:val="32"/>
          <w:shd w:val="clear" w:color="auto" w:fill="auto"/>
        </w:rPr>
        <w:t>。</w:t>
      </w:r>
      <w:r>
        <w:rPr>
          <w:rFonts w:hint="eastAsia" w:ascii="Times New Roman" w:hAnsi="Times New Roman" w:eastAsia="方正仿宋_GBK"/>
          <w:spacing w:val="-6"/>
          <w:sz w:val="32"/>
          <w:shd w:val="clear" w:color="auto" w:fill="auto"/>
          <w:lang w:eastAsia="zh-CN"/>
        </w:rPr>
        <w:t>主要用于消防救援人员的人员经费、区消防大队的日常运行费、消防车辆装备维修保养及油料费、营房维修维护经费等。</w:t>
      </w:r>
    </w:p>
    <w:p w14:paraId="05C50763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51" w:line="560" w:lineRule="exact"/>
        <w:ind w:left="695" w:firstLine="0"/>
        <w:jc w:val="both"/>
        <w:textAlignment w:val="baseline"/>
        <w:rPr>
          <w:rFonts w:ascii="Times New Roman" w:hAnsi="Times New Roman" w:eastAsia="方正仿宋_GBK" w:cs="楷体"/>
          <w:b/>
          <w:bCs/>
          <w:spacing w:val="-3"/>
          <w:sz w:val="32"/>
          <w:szCs w:val="32"/>
          <w:shd w:val="clear" w:color="auto" w:fill="auto"/>
        </w:rPr>
      </w:pPr>
      <w:r>
        <w:rPr>
          <w:rFonts w:hint="eastAsia" w:ascii="Times New Roman" w:hAnsi="Times New Roman" w:eastAsia="方正仿宋_GBK" w:cs="楷体"/>
          <w:b/>
          <w:bCs/>
          <w:spacing w:val="-3"/>
          <w:sz w:val="32"/>
          <w:szCs w:val="32"/>
          <w:shd w:val="clear" w:color="auto" w:fill="auto"/>
          <w:lang w:eastAsia="zh-CN"/>
        </w:rPr>
        <w:t>（</w:t>
      </w:r>
      <w:r>
        <w:rPr>
          <w:rFonts w:ascii="Times New Roman" w:hAnsi="Times New Roman" w:eastAsia="方正仿宋_GBK" w:cs="楷体"/>
          <w:b/>
          <w:bCs/>
          <w:spacing w:val="-3"/>
          <w:sz w:val="32"/>
          <w:szCs w:val="32"/>
          <w:shd w:val="clear" w:color="auto" w:fill="auto"/>
        </w:rPr>
        <w:t>三</w:t>
      </w:r>
      <w:r>
        <w:rPr>
          <w:rFonts w:hint="eastAsia" w:ascii="Times New Roman" w:hAnsi="Times New Roman" w:eastAsia="方正仿宋_GBK" w:cs="楷体"/>
          <w:b/>
          <w:bCs/>
          <w:spacing w:val="-3"/>
          <w:sz w:val="32"/>
          <w:szCs w:val="32"/>
          <w:shd w:val="clear" w:color="auto" w:fill="auto"/>
          <w:lang w:eastAsia="zh-CN"/>
        </w:rPr>
        <w:t>）</w:t>
      </w:r>
      <w:r>
        <w:rPr>
          <w:rFonts w:ascii="Times New Roman" w:hAnsi="Times New Roman" w:eastAsia="方正仿宋_GBK" w:cs="楷体"/>
          <w:b/>
          <w:bCs/>
          <w:spacing w:val="-3"/>
          <w:sz w:val="32"/>
          <w:szCs w:val="32"/>
          <w:shd w:val="clear" w:color="auto" w:fill="auto"/>
        </w:rPr>
        <w:t>一般公共预算财政拨款支出决算具体情况</w:t>
      </w:r>
    </w:p>
    <w:p w14:paraId="72205405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firstLine="628" w:firstLineChars="200"/>
        <w:jc w:val="both"/>
        <w:textAlignment w:val="baseline"/>
        <w:rPr>
          <w:rFonts w:hint="eastAsia" w:ascii="Times New Roman" w:hAnsi="Times New Roman" w:eastAsia="方正仿宋_GBK"/>
          <w:spacing w:val="-1"/>
          <w:sz w:val="32"/>
          <w:shd w:val="clear" w:color="auto" w:fill="auto"/>
          <w:lang w:eastAsia="zh-CN"/>
        </w:rPr>
      </w:pPr>
      <w:r>
        <w:rPr>
          <w:rFonts w:ascii="Times New Roman" w:hAnsi="Times New Roman" w:eastAsia="方正仿宋_GBK"/>
          <w:spacing w:val="-3"/>
          <w:sz w:val="32"/>
          <w:shd w:val="clear" w:color="auto" w:fill="auto"/>
        </w:rPr>
        <w:t>2023年度一般公共预算财政拨款支出</w:t>
      </w:r>
      <w:r>
        <w:rPr>
          <w:rFonts w:hint="eastAsia" w:ascii="Times New Roman" w:hAnsi="Times New Roman" w:eastAsia="方正仿宋_GBK"/>
          <w:spacing w:val="-3"/>
          <w:sz w:val="32"/>
          <w:shd w:val="clear" w:color="auto" w:fill="auto"/>
          <w:lang w:eastAsia="zh-CN"/>
        </w:rPr>
        <w:t>年初</w:t>
      </w:r>
      <w:r>
        <w:rPr>
          <w:rFonts w:ascii="Times New Roman" w:hAnsi="Times New Roman" w:eastAsia="方正仿宋_GBK"/>
          <w:spacing w:val="-3"/>
          <w:sz w:val="32"/>
          <w:shd w:val="clear" w:color="auto" w:fill="auto"/>
        </w:rPr>
        <w:t>预算为</w:t>
      </w:r>
      <w:r>
        <w:rPr>
          <w:rFonts w:hint="eastAsia" w:ascii="Times New Roman" w:hAnsi="Times New Roman" w:eastAsia="方正仿宋_GBK"/>
          <w:spacing w:val="4"/>
          <w:sz w:val="32"/>
          <w:highlight w:val="none"/>
          <w:u w:val="single" w:color="auto"/>
          <w:shd w:val="clear" w:color="auto" w:fill="auto"/>
        </w:rPr>
        <w:t>3,676.7</w:t>
      </w:r>
      <w:r>
        <w:rPr>
          <w:rFonts w:hint="eastAsia" w:ascii="Times New Roman" w:hAnsi="Times New Roman" w:eastAsia="方正仿宋_GBK"/>
          <w:spacing w:val="-6"/>
          <w:sz w:val="32"/>
          <w:u w:val="none"/>
          <w:shd w:val="clear" w:color="auto" w:fill="auto"/>
          <w:lang w:val="en-US" w:eastAsia="zh-CN"/>
        </w:rPr>
        <w:t>万</w:t>
      </w:r>
      <w:r>
        <w:rPr>
          <w:rFonts w:ascii="Times New Roman" w:hAnsi="Times New Roman" w:eastAsia="方正仿宋_GBK"/>
          <w:spacing w:val="-3"/>
          <w:sz w:val="32"/>
          <w:shd w:val="clear" w:color="auto" w:fill="auto"/>
        </w:rPr>
        <w:t>元，</w:t>
      </w:r>
      <w:r>
        <w:rPr>
          <w:rFonts w:ascii="Times New Roman" w:hAnsi="Times New Roman" w:eastAsia="方正仿宋_GBK"/>
          <w:spacing w:val="-1"/>
          <w:sz w:val="32"/>
          <w:shd w:val="clear" w:color="auto" w:fill="auto"/>
        </w:rPr>
        <w:t>支出决算为</w:t>
      </w:r>
      <w:r>
        <w:rPr>
          <w:rFonts w:hint="eastAsia" w:ascii="Times New Roman" w:hAnsi="Times New Roman" w:eastAsia="方正仿宋_GBK"/>
          <w:spacing w:val="4"/>
          <w:sz w:val="32"/>
          <w:highlight w:val="none"/>
          <w:u w:val="single" w:color="auto"/>
          <w:shd w:val="clear" w:color="auto" w:fill="auto"/>
        </w:rPr>
        <w:t>4,727.16</w:t>
      </w:r>
      <w:r>
        <w:rPr>
          <w:rFonts w:ascii="Times New Roman" w:hAnsi="Times New Roman" w:eastAsia="方正仿宋_GBK"/>
          <w:spacing w:val="-1"/>
          <w:sz w:val="32"/>
          <w:shd w:val="clear" w:color="auto" w:fill="auto"/>
        </w:rPr>
        <w:t>万元，完成年初预算的</w:t>
      </w:r>
      <w:r>
        <w:rPr>
          <w:rFonts w:hint="eastAsia" w:ascii="Times New Roman" w:hAnsi="Times New Roman" w:eastAsia="方正仿宋_GBK"/>
          <w:spacing w:val="-1"/>
          <w:sz w:val="32"/>
          <w:u w:val="single" w:color="auto"/>
          <w:shd w:val="clear" w:color="auto" w:fill="auto"/>
          <w:lang w:val="en-US" w:eastAsia="zh-CN"/>
        </w:rPr>
        <w:t>128.57</w:t>
      </w:r>
      <w:r>
        <w:rPr>
          <w:rFonts w:ascii="Times New Roman" w:hAnsi="Times New Roman" w:eastAsia="方正仿宋_GBK"/>
          <w:spacing w:val="-1"/>
          <w:sz w:val="32"/>
          <w:shd w:val="clear" w:color="auto" w:fill="auto"/>
        </w:rPr>
        <w:t>%</w:t>
      </w:r>
      <w:r>
        <w:rPr>
          <w:rFonts w:hint="eastAsia" w:ascii="Times New Roman" w:hAnsi="Times New Roman" w:eastAsia="方正仿宋_GBK"/>
          <w:spacing w:val="-1"/>
          <w:sz w:val="32"/>
          <w:shd w:val="clear" w:color="auto" w:fill="auto"/>
          <w:lang w:eastAsia="zh-CN"/>
        </w:rPr>
        <w:t>。</w:t>
      </w:r>
    </w:p>
    <w:p w14:paraId="3132E561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firstLine="636" w:firstLineChars="200"/>
        <w:jc w:val="both"/>
        <w:textAlignment w:val="baseline"/>
        <w:rPr>
          <w:rFonts w:hint="eastAsia" w:ascii="Times New Roman" w:hAnsi="Times New Roman" w:eastAsia="方正仿宋_GBK"/>
          <w:spacing w:val="-16"/>
          <w:sz w:val="32"/>
          <w:shd w:val="clear" w:color="auto" w:fill="auto"/>
          <w:lang w:val="en-US" w:eastAsia="zh-CN"/>
        </w:rPr>
      </w:pPr>
      <w:r>
        <w:rPr>
          <w:rFonts w:ascii="Times New Roman" w:hAnsi="Times New Roman" w:eastAsia="方正仿宋_GBK"/>
          <w:spacing w:val="-1"/>
          <w:sz w:val="32"/>
          <w:shd w:val="clear" w:color="auto" w:fill="auto"/>
        </w:rPr>
        <w:t>其中：</w:t>
      </w:r>
      <w:r>
        <w:rPr>
          <w:rFonts w:ascii="Times New Roman" w:hAnsi="Times New Roman" w:eastAsia="方正仿宋_GBK"/>
          <w:spacing w:val="-3"/>
          <w:sz w:val="32"/>
          <w:shd w:val="clear" w:color="auto" w:fill="auto"/>
        </w:rPr>
        <w:t>基本支出</w:t>
      </w:r>
      <w:r>
        <w:rPr>
          <w:rFonts w:hint="eastAsia" w:ascii="Times New Roman" w:hAnsi="Times New Roman" w:eastAsia="方正仿宋_GBK"/>
          <w:spacing w:val="-3"/>
          <w:sz w:val="32"/>
          <w:u w:val="single"/>
          <w:shd w:val="clear" w:color="auto" w:fill="auto"/>
          <w:lang w:val="en-US" w:eastAsia="zh-CN"/>
        </w:rPr>
        <w:t>964.26</w:t>
      </w:r>
      <w:r>
        <w:rPr>
          <w:rFonts w:ascii="Times New Roman" w:hAnsi="Times New Roman" w:eastAsia="方正仿宋_GBK"/>
          <w:spacing w:val="-3"/>
          <w:sz w:val="32"/>
          <w:shd w:val="clear" w:color="auto" w:fill="auto"/>
        </w:rPr>
        <w:t>万元</w:t>
      </w:r>
      <w:r>
        <w:rPr>
          <w:rFonts w:ascii="Times New Roman" w:hAnsi="Times New Roman" w:eastAsia="方正仿宋_GBK"/>
          <w:spacing w:val="-6"/>
          <w:sz w:val="32"/>
          <w:shd w:val="clear" w:color="auto" w:fill="auto"/>
        </w:rPr>
        <w:t>，项目支出</w:t>
      </w:r>
      <w:r>
        <w:rPr>
          <w:rFonts w:hint="eastAsia" w:ascii="Times New Roman" w:hAnsi="Times New Roman" w:eastAsia="方正仿宋_GBK"/>
          <w:spacing w:val="-6"/>
          <w:sz w:val="32"/>
          <w:u w:val="single" w:color="auto"/>
          <w:shd w:val="clear" w:color="auto" w:fill="auto"/>
          <w:lang w:val="en-US" w:eastAsia="zh-CN"/>
        </w:rPr>
        <w:t>3,762.90</w:t>
      </w:r>
      <w:r>
        <w:rPr>
          <w:rFonts w:ascii="Times New Roman" w:hAnsi="Times New Roman" w:eastAsia="方正仿宋_GBK"/>
          <w:spacing w:val="-6"/>
          <w:sz w:val="32"/>
          <w:shd w:val="clear" w:color="auto" w:fill="auto"/>
        </w:rPr>
        <w:t>万元。项目支出主要用于</w:t>
      </w:r>
      <w:r>
        <w:rPr>
          <w:rFonts w:hint="eastAsia" w:ascii="Times New Roman" w:hAnsi="Times New Roman" w:eastAsia="方正仿宋_GBK"/>
          <w:spacing w:val="-6"/>
          <w:sz w:val="32"/>
          <w:shd w:val="clear" w:color="auto" w:fill="auto"/>
          <w:lang w:val="en-US" w:eastAsia="zh-CN"/>
        </w:rPr>
        <w:t>消防应急救援</w:t>
      </w:r>
      <w:r>
        <w:rPr>
          <w:rFonts w:hint="eastAsia" w:ascii="Times New Roman" w:hAnsi="Times New Roman" w:eastAsia="方正仿宋_GBK"/>
          <w:spacing w:val="-6"/>
          <w:sz w:val="32"/>
          <w:u w:val="single" w:color="auto"/>
          <w:shd w:val="clear" w:color="auto" w:fill="auto"/>
          <w:lang w:val="en-US" w:eastAsia="zh-CN"/>
        </w:rPr>
        <w:t>3,762.90</w:t>
      </w:r>
      <w:r>
        <w:rPr>
          <w:rFonts w:ascii="Times New Roman" w:hAnsi="Times New Roman" w:eastAsia="方正仿宋_GBK"/>
          <w:spacing w:val="-6"/>
          <w:sz w:val="32"/>
          <w:shd w:val="clear" w:color="auto" w:fill="auto"/>
        </w:rPr>
        <w:t>万</w:t>
      </w:r>
      <w:r>
        <w:rPr>
          <w:rFonts w:ascii="Times New Roman" w:hAnsi="Times New Roman" w:eastAsia="方正仿宋_GBK"/>
          <w:spacing w:val="-16"/>
          <w:sz w:val="32"/>
          <w:shd w:val="clear" w:color="auto" w:fill="auto"/>
        </w:rPr>
        <w:t>元，主要成效</w:t>
      </w:r>
      <w:r>
        <w:rPr>
          <w:rFonts w:hint="eastAsia" w:ascii="Times New Roman" w:hAnsi="Times New Roman" w:eastAsia="方正仿宋_GBK"/>
          <w:spacing w:val="-16"/>
          <w:sz w:val="32"/>
          <w:shd w:val="clear" w:color="auto" w:fill="auto"/>
        </w:rPr>
        <w:t>加强专职队员管理。建立完善政府专职消防员“招、管、训、用、保”科学管理机制，常态开展入职、任职、晋级和骨干“四类培训”</w:t>
      </w:r>
      <w:r>
        <w:rPr>
          <w:rFonts w:hint="eastAsia" w:ascii="Times New Roman" w:hAnsi="Times New Roman" w:eastAsia="方正仿宋_GBK"/>
          <w:spacing w:val="-16"/>
          <w:sz w:val="32"/>
          <w:shd w:val="clear" w:color="auto" w:fill="auto"/>
          <w:lang w:eastAsia="zh-CN"/>
        </w:rPr>
        <w:t>。</w:t>
      </w:r>
      <w:r>
        <w:rPr>
          <w:rFonts w:hint="eastAsia" w:ascii="Times New Roman" w:hAnsi="Times New Roman" w:eastAsia="方正仿宋_GBK"/>
          <w:spacing w:val="-16"/>
          <w:sz w:val="32"/>
          <w:shd w:val="clear" w:color="auto" w:fill="auto"/>
          <w:lang w:val="en-US" w:eastAsia="zh-CN"/>
        </w:rPr>
        <w:t>大队着力解决人民群众关切消防安全问题，致力净化全区消防安全环境，确保全区消防安全形势稳定。一是推进消防责任落实提请区委常委会、政府常务会（办公会）每月听取消防工作报告、形成党政领导带队检查督导消防工作常态机制；二是开展消防隐患综合治理。结合消防安全专项整治三年行动和消防安全大检查各项重点任务，以党的二十大消防安保任务为主线，紧盯高层建筑、商业综合体、自建房、老旧小区、文物建筑、工业物流园区等重点部位和重大火灾隐患、危化品、城镇燃气等重点领域，开展综合治理，严密排查消防安全隐患；三是打牢群防群治基础。充分发动街道、公安派出所、消防网格员和消防志愿者等多种形式基层消防力量，强化警消联防联勤，加强消防安全网格管理，落实联训联勤联调机制，筑牢社会面火灾防控基础。</w:t>
      </w:r>
    </w:p>
    <w:p w14:paraId="6DFCA794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238" w:line="560" w:lineRule="exact"/>
        <w:ind w:left="644" w:firstLine="0"/>
        <w:jc w:val="both"/>
        <w:textAlignment w:val="baseline"/>
        <w:rPr>
          <w:rFonts w:ascii="Times New Roman" w:hAnsi="Times New Roman" w:eastAsia="黑体" w:cs="黑体"/>
          <w:sz w:val="32"/>
          <w:szCs w:val="32"/>
        </w:rPr>
      </w:pPr>
      <w:r>
        <w:rPr>
          <w:rFonts w:ascii="Times New Roman" w:hAnsi="Times New Roman" w:eastAsia="黑体" w:cs="黑体"/>
          <w:spacing w:val="-1"/>
          <w:sz w:val="32"/>
          <w:szCs w:val="32"/>
        </w:rPr>
        <w:t>六、一般公共预算财政拨款基本支出决算情况说明</w:t>
      </w:r>
    </w:p>
    <w:p w14:paraId="35BE756E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212" w:line="560" w:lineRule="exact"/>
        <w:ind w:firstLine="612" w:firstLineChars="200"/>
        <w:jc w:val="both"/>
        <w:textAlignment w:val="baseline"/>
        <w:rPr>
          <w:rFonts w:hint="eastAsia" w:ascii="Times New Roman" w:hAnsi="Times New Roman" w:eastAsia="方正仿宋_GBK"/>
          <w:spacing w:val="-7"/>
          <w:sz w:val="32"/>
          <w:lang w:eastAsia="zh-CN"/>
        </w:rPr>
      </w:pPr>
      <w:r>
        <w:rPr>
          <w:rFonts w:ascii="Times New Roman" w:hAnsi="Times New Roman" w:eastAsia="方正仿宋_GBK"/>
          <w:spacing w:val="-7"/>
          <w:sz w:val="32"/>
        </w:rPr>
        <w:t>2023年度一般公共预算财政拨款基本支出</w:t>
      </w:r>
      <w:r>
        <w:rPr>
          <w:rFonts w:hint="eastAsia" w:ascii="Times New Roman" w:hAnsi="Times New Roman" w:eastAsia="方正仿宋_GBK"/>
          <w:spacing w:val="-7"/>
          <w:sz w:val="32"/>
          <w:u w:val="single" w:color="auto"/>
          <w:lang w:val="en-US" w:eastAsia="zh-CN"/>
        </w:rPr>
        <w:t>964.26</w:t>
      </w:r>
      <w:r>
        <w:rPr>
          <w:rFonts w:ascii="Times New Roman" w:hAnsi="Times New Roman" w:eastAsia="方正仿宋_GBK"/>
          <w:spacing w:val="-7"/>
          <w:sz w:val="32"/>
        </w:rPr>
        <w:t>万元，其中</w:t>
      </w:r>
      <w:r>
        <w:rPr>
          <w:rFonts w:hint="eastAsia" w:ascii="Times New Roman" w:hAnsi="Times New Roman" w:eastAsia="方正仿宋_GBK"/>
          <w:spacing w:val="-7"/>
          <w:sz w:val="32"/>
          <w:lang w:eastAsia="zh-CN"/>
        </w:rPr>
        <w:t>：</w:t>
      </w:r>
    </w:p>
    <w:p w14:paraId="41E02E1A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04" w:line="560" w:lineRule="exact"/>
        <w:ind w:left="2" w:firstLine="588" w:firstLineChars="200"/>
        <w:jc w:val="both"/>
        <w:textAlignment w:val="baseline"/>
        <w:rPr>
          <w:rFonts w:ascii="Times New Roman" w:hAnsi="Times New Roman" w:eastAsia="方正仿宋_GBK"/>
          <w:sz w:val="32"/>
        </w:rPr>
      </w:pPr>
      <w:r>
        <w:rPr>
          <w:rFonts w:ascii="Times New Roman" w:hAnsi="Times New Roman" w:eastAsia="方正仿宋_GBK"/>
          <w:spacing w:val="-13"/>
          <w:sz w:val="32"/>
        </w:rPr>
        <w:t>人员经费</w:t>
      </w:r>
      <w:r>
        <w:rPr>
          <w:rFonts w:hint="eastAsia" w:ascii="Times New Roman" w:hAnsi="Times New Roman" w:eastAsia="方正仿宋_GBK"/>
          <w:spacing w:val="-7"/>
          <w:sz w:val="32"/>
          <w:u w:val="single" w:color="auto"/>
          <w:lang w:val="en-US" w:eastAsia="zh-CN"/>
        </w:rPr>
        <w:t>964.26</w:t>
      </w:r>
      <w:r>
        <w:rPr>
          <w:rFonts w:ascii="Times New Roman" w:hAnsi="Times New Roman" w:eastAsia="方正仿宋_GBK"/>
          <w:spacing w:val="-13"/>
          <w:sz w:val="32"/>
        </w:rPr>
        <w:t>万元，主要包括：基本工资、津贴补贴、</w:t>
      </w:r>
      <w:r>
        <w:rPr>
          <w:rFonts w:ascii="Times New Roman" w:hAnsi="Times New Roman" w:eastAsia="方正仿宋_GBK"/>
          <w:spacing w:val="-14"/>
          <w:sz w:val="32"/>
        </w:rPr>
        <w:t>奖金、</w:t>
      </w:r>
      <w:r>
        <w:rPr>
          <w:rFonts w:ascii="Times New Roman" w:hAnsi="Times New Roman" w:eastAsia="方正仿宋_GBK"/>
          <w:spacing w:val="-5"/>
          <w:sz w:val="32"/>
        </w:rPr>
        <w:t>伙食补助费、绩效工资、机关事业单位基本养老保险缴费、职业年金缴费、职工基本医疗保险缴费、公务员医疗补助缴费、其他社会保障缴费、住房公积金、医疗费、其他工资福利支出、离休费、退休费、退职</w:t>
      </w:r>
      <w:r>
        <w:rPr>
          <w:rFonts w:hint="eastAsia" w:ascii="Times New Roman" w:hAnsi="Times New Roman" w:eastAsia="方正仿宋_GBK"/>
          <w:spacing w:val="-5"/>
          <w:sz w:val="32"/>
          <w:lang w:eastAsia="zh-CN"/>
        </w:rPr>
        <w:t>（</w:t>
      </w:r>
      <w:r>
        <w:rPr>
          <w:rFonts w:hint="eastAsia" w:ascii="Times New Roman" w:hAnsi="Times New Roman" w:eastAsia="方正仿宋_GBK"/>
          <w:spacing w:val="-5"/>
          <w:sz w:val="32"/>
          <w:lang w:val="en-US" w:eastAsia="zh-CN"/>
        </w:rPr>
        <w:t>役</w:t>
      </w:r>
      <w:r>
        <w:rPr>
          <w:rFonts w:hint="eastAsia" w:ascii="Times New Roman" w:hAnsi="Times New Roman" w:eastAsia="方正仿宋_GBK"/>
          <w:spacing w:val="-5"/>
          <w:sz w:val="32"/>
          <w:lang w:eastAsia="zh-CN"/>
        </w:rPr>
        <w:t>）</w:t>
      </w:r>
      <w:r>
        <w:rPr>
          <w:rFonts w:ascii="Times New Roman" w:hAnsi="Times New Roman" w:eastAsia="方正仿宋_GBK"/>
          <w:spacing w:val="-5"/>
          <w:sz w:val="32"/>
        </w:rPr>
        <w:t>费、抚恤金、生活补助</w:t>
      </w:r>
      <w:r>
        <w:rPr>
          <w:rFonts w:ascii="Times New Roman" w:hAnsi="Times New Roman" w:eastAsia="方正仿宋_GBK"/>
          <w:spacing w:val="-6"/>
          <w:sz w:val="32"/>
        </w:rPr>
        <w:t>、救济费、医疗费</w:t>
      </w:r>
      <w:r>
        <w:rPr>
          <w:rFonts w:ascii="Times New Roman" w:hAnsi="Times New Roman" w:eastAsia="方正仿宋_GBK"/>
          <w:spacing w:val="-3"/>
          <w:sz w:val="32"/>
        </w:rPr>
        <w:t>补助、助学金、奖励金、个人农业生产补贴、代缴社会保险费、</w:t>
      </w:r>
      <w:r>
        <w:rPr>
          <w:rFonts w:ascii="Times New Roman" w:hAnsi="Times New Roman" w:eastAsia="方正仿宋_GBK"/>
          <w:spacing w:val="-1"/>
          <w:sz w:val="32"/>
        </w:rPr>
        <w:t>其他对个人和家庭的补助。</w:t>
      </w:r>
    </w:p>
    <w:p w14:paraId="71E1688E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59" w:line="560" w:lineRule="exact"/>
        <w:ind w:firstLine="616" w:firstLineChars="200"/>
        <w:jc w:val="both"/>
        <w:textAlignment w:val="baseline"/>
        <w:rPr>
          <w:rFonts w:ascii="Times New Roman" w:hAnsi="Times New Roman"/>
          <w:sz w:val="32"/>
        </w:rPr>
      </w:pPr>
      <w:r>
        <w:rPr>
          <w:rFonts w:ascii="Times New Roman" w:hAnsi="Times New Roman" w:eastAsia="方正仿宋_GBK"/>
          <w:spacing w:val="-6"/>
          <w:sz w:val="32"/>
        </w:rPr>
        <w:t>公用经费</w:t>
      </w:r>
      <w:r>
        <w:rPr>
          <w:rFonts w:hint="eastAsia" w:ascii="Times New Roman" w:hAnsi="Times New Roman" w:eastAsia="方正仿宋_GBK"/>
          <w:spacing w:val="-6"/>
          <w:sz w:val="32"/>
          <w:u w:val="single" w:color="auto"/>
          <w:lang w:val="en-US" w:eastAsia="zh-CN"/>
        </w:rPr>
        <w:t>0</w:t>
      </w:r>
      <w:r>
        <w:rPr>
          <w:rFonts w:ascii="Times New Roman" w:hAnsi="Times New Roman" w:eastAsia="方正仿宋_GBK"/>
          <w:spacing w:val="-6"/>
          <w:sz w:val="32"/>
        </w:rPr>
        <w:t>万元，主要包括：办公费、印刷费、咨询费、</w:t>
      </w:r>
      <w:r>
        <w:rPr>
          <w:rFonts w:ascii="Times New Roman" w:hAnsi="Times New Roman" w:eastAsia="方正仿宋_GBK"/>
          <w:spacing w:val="-3"/>
          <w:sz w:val="32"/>
        </w:rPr>
        <w:t>手续费、水费、电费、邮电费、取暖费、物业管理费、差旅费、</w:t>
      </w:r>
      <w:r>
        <w:rPr>
          <w:rFonts w:ascii="Times New Roman" w:hAnsi="Times New Roman" w:eastAsia="方正仿宋_GBK"/>
          <w:spacing w:val="-7"/>
          <w:sz w:val="32"/>
        </w:rPr>
        <w:t>因公出国</w:t>
      </w:r>
      <w:r>
        <w:rPr>
          <w:rFonts w:hint="eastAsia" w:ascii="Times New Roman" w:hAnsi="Times New Roman" w:eastAsia="方正仿宋_GBK"/>
          <w:spacing w:val="-7"/>
          <w:sz w:val="32"/>
          <w:lang w:eastAsia="zh-CN"/>
        </w:rPr>
        <w:t>（</w:t>
      </w:r>
      <w:r>
        <w:rPr>
          <w:rFonts w:ascii="Times New Roman" w:hAnsi="Times New Roman" w:eastAsia="方正仿宋_GBK"/>
          <w:spacing w:val="-7"/>
          <w:sz w:val="32"/>
        </w:rPr>
        <w:t>境</w:t>
      </w:r>
      <w:r>
        <w:rPr>
          <w:rFonts w:hint="eastAsia" w:ascii="Times New Roman" w:hAnsi="Times New Roman" w:eastAsia="方正仿宋_GBK"/>
          <w:spacing w:val="-7"/>
          <w:sz w:val="32"/>
          <w:lang w:eastAsia="zh-CN"/>
        </w:rPr>
        <w:t>）</w:t>
      </w:r>
      <w:r>
        <w:rPr>
          <w:rFonts w:ascii="Times New Roman" w:hAnsi="Times New Roman" w:eastAsia="方正仿宋_GBK"/>
          <w:spacing w:val="-7"/>
          <w:sz w:val="32"/>
        </w:rPr>
        <w:t>费用、</w:t>
      </w:r>
      <w:r>
        <w:rPr>
          <w:rFonts w:hint="eastAsia" w:ascii="Times New Roman" w:hAnsi="Times New Roman" w:eastAsia="方正仿宋_GBK"/>
          <w:spacing w:val="-7"/>
          <w:sz w:val="32"/>
          <w:lang w:eastAsia="zh-CN"/>
        </w:rPr>
        <w:t>维修（护）费、</w:t>
      </w:r>
      <w:r>
        <w:rPr>
          <w:rFonts w:ascii="Times New Roman" w:hAnsi="Times New Roman" w:eastAsia="方正仿宋_GBK"/>
          <w:spacing w:val="-7"/>
          <w:sz w:val="32"/>
        </w:rPr>
        <w:t>租赁费、会议费、培训费、公</w:t>
      </w:r>
      <w:r>
        <w:rPr>
          <w:rFonts w:ascii="Times New Roman" w:hAnsi="Times New Roman" w:eastAsia="方正仿宋_GBK"/>
          <w:spacing w:val="-5"/>
          <w:sz w:val="32"/>
        </w:rPr>
        <w:t>务接待费、专用材料费、</w:t>
      </w:r>
      <w:r>
        <w:rPr>
          <w:rFonts w:hint="eastAsia" w:ascii="Times New Roman" w:hAnsi="Times New Roman" w:eastAsia="方正仿宋_GBK"/>
          <w:spacing w:val="-7"/>
          <w:sz w:val="32"/>
          <w:lang w:eastAsia="zh-CN"/>
        </w:rPr>
        <w:t>被装</w:t>
      </w:r>
      <w:r>
        <w:rPr>
          <w:rFonts w:ascii="Times New Roman" w:hAnsi="Times New Roman" w:eastAsia="方正仿宋_GBK"/>
          <w:spacing w:val="-5"/>
          <w:sz w:val="32"/>
        </w:rPr>
        <w:t>购置费、专用燃料费、劳务费、委托业务费、工会经费、福利费、公务用车运行维护费、其他交通</w:t>
      </w:r>
      <w:r>
        <w:rPr>
          <w:rFonts w:ascii="Times New Roman" w:hAnsi="Times New Roman" w:eastAsia="方正仿宋_GBK"/>
          <w:spacing w:val="-3"/>
          <w:sz w:val="32"/>
        </w:rPr>
        <w:t>费用、税金及附加费用、其他商品和服务支出、办公设备购置、</w:t>
      </w:r>
      <w:r>
        <w:rPr>
          <w:rFonts w:ascii="Times New Roman" w:hAnsi="Times New Roman" w:eastAsia="方正仿宋_GBK"/>
          <w:spacing w:val="-5"/>
          <w:sz w:val="32"/>
        </w:rPr>
        <w:t>专用设备购置、信息网络及软件购置更新、公务用车购置、文物</w:t>
      </w:r>
      <w:r>
        <w:rPr>
          <w:rFonts w:ascii="Times New Roman" w:hAnsi="Times New Roman" w:eastAsia="方正仿宋_GBK"/>
          <w:spacing w:val="-1"/>
          <w:sz w:val="32"/>
        </w:rPr>
        <w:t>和陈列品购置、无形资产购置、其他资本性支出。</w:t>
      </w:r>
    </w:p>
    <w:p w14:paraId="05DA7663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222" w:line="560" w:lineRule="exact"/>
        <w:ind w:firstLine="640" w:firstLineChars="200"/>
        <w:jc w:val="both"/>
        <w:textAlignment w:val="baseline"/>
        <w:rPr>
          <w:rFonts w:ascii="Times New Roman" w:hAnsi="Times New Roman" w:eastAsia="黑体" w:cs="黑体"/>
          <w:sz w:val="32"/>
          <w:szCs w:val="32"/>
        </w:rPr>
      </w:pPr>
      <w:r>
        <w:rPr>
          <w:rFonts w:ascii="Times New Roman" w:hAnsi="Times New Roman" w:eastAsia="黑体" w:cs="黑体"/>
          <w:sz w:val="32"/>
          <w:szCs w:val="32"/>
        </w:rPr>
        <w:t>七、政府性基金预算财政拨款收入支出决算情</w:t>
      </w:r>
      <w:r>
        <w:rPr>
          <w:rFonts w:ascii="Times New Roman" w:hAnsi="Times New Roman" w:eastAsia="黑体" w:cs="黑体"/>
          <w:spacing w:val="-1"/>
          <w:sz w:val="32"/>
          <w:szCs w:val="32"/>
        </w:rPr>
        <w:t>况说明</w:t>
      </w:r>
    </w:p>
    <w:p w14:paraId="5EB010BF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04" w:line="560" w:lineRule="exact"/>
        <w:ind w:firstLine="596" w:firstLineChars="200"/>
        <w:jc w:val="both"/>
        <w:textAlignment w:val="baseline"/>
        <w:rPr>
          <w:rFonts w:hint="eastAsia" w:ascii="方正仿宋_GBK" w:hAnsi="方正仿宋_GBK" w:eastAsia="方正仿宋_GBK" w:cs="仿宋"/>
          <w:snapToGrid w:val="0"/>
          <w:color w:val="000000"/>
          <w:spacing w:val="-11"/>
          <w:kern w:val="0"/>
          <w:sz w:val="32"/>
          <w:szCs w:val="32"/>
          <w:lang w:val="en-US" w:eastAsia="zh-CN" w:bidi="ar-SA"/>
        </w:rPr>
      </w:pPr>
      <w:r>
        <w:rPr>
          <w:rFonts w:ascii="方正仿宋_GBK" w:hAnsi="方正仿宋_GBK" w:eastAsia="方正仿宋_GBK" w:cs="仿宋"/>
          <w:snapToGrid w:val="0"/>
          <w:color w:val="000000"/>
          <w:spacing w:val="-11"/>
          <w:kern w:val="0"/>
          <w:sz w:val="32"/>
          <w:szCs w:val="32"/>
          <w:lang w:val="en-US" w:eastAsia="en-US" w:bidi="ar-SA"/>
        </w:rPr>
        <w:t>本部门当年无政府性基金预算财政拨款收入支出</w:t>
      </w:r>
      <w:r>
        <w:rPr>
          <w:rFonts w:hint="eastAsia" w:ascii="方正仿宋_GBK" w:hAnsi="方正仿宋_GBK" w:eastAsia="方正仿宋_GBK" w:cs="仿宋"/>
          <w:snapToGrid w:val="0"/>
          <w:color w:val="000000"/>
          <w:spacing w:val="-11"/>
          <w:kern w:val="0"/>
          <w:sz w:val="32"/>
          <w:szCs w:val="32"/>
          <w:lang w:val="en-US" w:eastAsia="zh-CN" w:bidi="ar-SA"/>
        </w:rPr>
        <w:t>。</w:t>
      </w:r>
    </w:p>
    <w:p w14:paraId="65FCB9B8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48" w:line="560" w:lineRule="exact"/>
        <w:ind w:left="645" w:firstLine="0"/>
        <w:jc w:val="both"/>
        <w:textAlignment w:val="baseline"/>
        <w:rPr>
          <w:rFonts w:ascii="Times New Roman" w:hAnsi="Times New Roman" w:eastAsia="黑体" w:cs="黑体"/>
          <w:sz w:val="32"/>
          <w:szCs w:val="32"/>
        </w:rPr>
      </w:pPr>
      <w:r>
        <w:rPr>
          <w:rFonts w:ascii="Times New Roman" w:hAnsi="Times New Roman" w:eastAsia="黑体" w:cs="黑体"/>
          <w:spacing w:val="-1"/>
          <w:sz w:val="32"/>
          <w:szCs w:val="32"/>
        </w:rPr>
        <w:t>八、国有资本经营预算财政拨款支出决算情况说明</w:t>
      </w:r>
    </w:p>
    <w:p w14:paraId="34415C21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04" w:line="560" w:lineRule="exact"/>
        <w:ind w:firstLine="596" w:firstLineChars="200"/>
        <w:jc w:val="both"/>
        <w:textAlignment w:val="baseline"/>
        <w:rPr>
          <w:rFonts w:ascii="方正仿宋_GBK" w:hAnsi="方正仿宋_GBK" w:eastAsia="方正仿宋_GBK" w:cs="仿宋"/>
          <w:snapToGrid w:val="0"/>
          <w:color w:val="000000"/>
          <w:spacing w:val="-11"/>
          <w:kern w:val="0"/>
          <w:sz w:val="32"/>
          <w:szCs w:val="32"/>
          <w:lang w:val="en-US" w:eastAsia="en-US" w:bidi="ar-SA"/>
        </w:rPr>
      </w:pPr>
      <w:r>
        <w:rPr>
          <w:rFonts w:ascii="方正仿宋_GBK" w:hAnsi="方正仿宋_GBK" w:eastAsia="方正仿宋_GBK" w:cs="仿宋"/>
          <w:snapToGrid w:val="0"/>
          <w:color w:val="000000"/>
          <w:spacing w:val="-11"/>
          <w:kern w:val="0"/>
          <w:sz w:val="32"/>
          <w:szCs w:val="32"/>
          <w:lang w:val="en-US" w:eastAsia="en-US" w:bidi="ar-SA"/>
        </w:rPr>
        <w:t>本部门当年无国有资本经营预算财政拨款支出</w:t>
      </w:r>
      <w:r>
        <w:rPr>
          <w:rFonts w:hint="eastAsia" w:ascii="方正仿宋_GBK" w:hAnsi="方正仿宋_GBK" w:eastAsia="方正仿宋_GBK" w:cs="仿宋"/>
          <w:snapToGrid w:val="0"/>
          <w:color w:val="000000"/>
          <w:spacing w:val="-11"/>
          <w:kern w:val="0"/>
          <w:sz w:val="32"/>
          <w:szCs w:val="32"/>
          <w:lang w:val="en-US" w:eastAsia="zh-CN" w:bidi="ar-SA"/>
        </w:rPr>
        <w:t>。</w:t>
      </w:r>
    </w:p>
    <w:p w14:paraId="4003544C"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210" w:line="560" w:lineRule="exact"/>
        <w:ind w:left="648" w:leftChars="0" w:firstLine="0"/>
        <w:jc w:val="both"/>
        <w:textAlignment w:val="baseline"/>
        <w:rPr>
          <w:rFonts w:ascii="Times New Roman" w:hAnsi="Times New Roman" w:eastAsia="黑体" w:cs="黑体"/>
          <w:spacing w:val="-1"/>
          <w:sz w:val="32"/>
          <w:szCs w:val="32"/>
        </w:rPr>
      </w:pPr>
      <w:r>
        <w:rPr>
          <w:rFonts w:ascii="Times New Roman" w:hAnsi="Times New Roman" w:eastAsia="黑体" w:cs="黑体"/>
          <w:spacing w:val="-1"/>
          <w:sz w:val="32"/>
          <w:szCs w:val="32"/>
        </w:rPr>
        <w:t>九、财政拨款“三公”经费支出决算情况说明</w:t>
      </w:r>
    </w:p>
    <w:p w14:paraId="60CAF14C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04" w:line="560" w:lineRule="exact"/>
        <w:ind w:left="411" w:firstLine="0"/>
        <w:jc w:val="both"/>
        <w:textAlignment w:val="baseline"/>
        <w:rPr>
          <w:rFonts w:ascii="方正仿宋_GBK" w:hAnsi="方正仿宋_GBK" w:eastAsia="方正仿宋_GBK" w:cs="仿宋"/>
          <w:snapToGrid w:val="0"/>
          <w:color w:val="000000"/>
          <w:spacing w:val="-11"/>
          <w:kern w:val="0"/>
          <w:sz w:val="32"/>
          <w:szCs w:val="32"/>
          <w:lang w:val="en-US" w:eastAsia="en-US" w:bidi="ar-SA"/>
        </w:rPr>
      </w:pPr>
      <w:r>
        <w:rPr>
          <w:rFonts w:ascii="方正仿宋_GBK" w:hAnsi="方正仿宋_GBK" w:eastAsia="方正仿宋_GBK" w:cs="仿宋"/>
          <w:b/>
          <w:bCs/>
          <w:snapToGrid w:val="0"/>
          <w:color w:val="000000"/>
          <w:spacing w:val="-11"/>
          <w:kern w:val="0"/>
          <w:sz w:val="32"/>
          <w:szCs w:val="32"/>
          <w:lang w:val="en-US" w:eastAsia="en-US" w:bidi="ar-SA"/>
        </w:rPr>
        <w:t>（一）“三公”经费财政拨款支出决算总体情况说明。</w:t>
      </w:r>
    </w:p>
    <w:p w14:paraId="0448397B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50" w:line="560" w:lineRule="exact"/>
        <w:ind w:left="16" w:firstLine="0"/>
        <w:jc w:val="both"/>
        <w:textAlignment w:val="baseline"/>
        <w:rPr>
          <w:rFonts w:ascii="方正仿宋_GBK" w:hAnsi="方正仿宋_GBK" w:eastAsia="方正仿宋_GBK" w:cs="仿宋"/>
          <w:snapToGrid w:val="0"/>
          <w:color w:val="000000"/>
          <w:spacing w:val="-11"/>
          <w:kern w:val="0"/>
          <w:sz w:val="32"/>
          <w:szCs w:val="32"/>
          <w:lang w:val="en-US" w:eastAsia="en-US" w:bidi="ar-SA"/>
        </w:rPr>
      </w:pPr>
      <w:r>
        <w:rPr>
          <w:rFonts w:hint="eastAsia" w:ascii="方正仿宋_GBK" w:hAnsi="方正仿宋_GBK" w:eastAsia="方正仿宋_GBK" w:cs="仿宋"/>
          <w:snapToGrid w:val="0"/>
          <w:color w:val="000000"/>
          <w:spacing w:val="-11"/>
          <w:kern w:val="0"/>
          <w:sz w:val="32"/>
          <w:szCs w:val="32"/>
          <w:lang w:val="en-US" w:eastAsia="en-US" w:bidi="ar-SA"/>
        </w:rPr>
        <w:t>本部门年初申请的预算均为项目经费，未单独申请三公经费预算，且本单位为中央垂管单位，三公经费使用中央财政经费保障。</w:t>
      </w:r>
    </w:p>
    <w:p w14:paraId="573E04EC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213" w:line="560" w:lineRule="exact"/>
        <w:ind w:left="646" w:firstLine="0"/>
        <w:jc w:val="both"/>
        <w:textAlignment w:val="baseline"/>
        <w:rPr>
          <w:rFonts w:ascii="Times New Roman" w:hAnsi="Times New Roman" w:eastAsia="黑体" w:cs="黑体"/>
          <w:sz w:val="32"/>
          <w:szCs w:val="32"/>
        </w:rPr>
      </w:pPr>
      <w:r>
        <w:rPr>
          <w:rFonts w:ascii="Times New Roman" w:hAnsi="Times New Roman" w:eastAsia="黑体" w:cs="黑体"/>
          <w:spacing w:val="-1"/>
          <w:sz w:val="32"/>
          <w:szCs w:val="32"/>
        </w:rPr>
        <w:t>十、机关运行经费支出说明</w:t>
      </w:r>
    </w:p>
    <w:p w14:paraId="745C2ABC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212" w:line="560" w:lineRule="exact"/>
        <w:ind w:right="85" w:firstLine="596" w:firstLineChars="200"/>
        <w:jc w:val="both"/>
        <w:textAlignment w:val="baseline"/>
        <w:rPr>
          <w:rFonts w:ascii="Times New Roman" w:hAnsi="Times New Roman"/>
          <w:sz w:val="32"/>
          <w:highlight w:val="none"/>
        </w:rPr>
      </w:pPr>
      <w:r>
        <w:rPr>
          <w:rFonts w:hint="eastAsia" w:ascii="方正仿宋_GBK" w:hAnsi="方正仿宋_GBK" w:eastAsia="方正仿宋_GBK" w:cs="仿宋"/>
          <w:snapToGrid w:val="0"/>
          <w:color w:val="000000"/>
          <w:spacing w:val="-11"/>
          <w:kern w:val="0"/>
          <w:sz w:val="32"/>
          <w:szCs w:val="32"/>
          <w:lang w:val="en-US" w:eastAsia="en-US" w:bidi="ar-SA"/>
        </w:rPr>
        <w:t>本部门年初申请的预算均为项目经费，且本单位为中央垂管单位，</w:t>
      </w:r>
      <w:r>
        <w:rPr>
          <w:rFonts w:hint="eastAsia" w:ascii="方正仿宋_GBK" w:hAnsi="方正仿宋_GBK" w:eastAsia="方正仿宋_GBK" w:cs="仿宋"/>
          <w:snapToGrid w:val="0"/>
          <w:color w:val="000000"/>
          <w:spacing w:val="-11"/>
          <w:kern w:val="0"/>
          <w:sz w:val="32"/>
          <w:szCs w:val="32"/>
          <w:lang w:val="en-US" w:eastAsia="zh-CN" w:bidi="ar-SA"/>
        </w:rPr>
        <w:t>无机关运行经费支出</w:t>
      </w:r>
      <w:r>
        <w:rPr>
          <w:rFonts w:hint="eastAsia" w:ascii="方正仿宋_GBK" w:hAnsi="方正仿宋_GBK" w:eastAsia="方正仿宋_GBK" w:cs="仿宋"/>
          <w:snapToGrid w:val="0"/>
          <w:color w:val="000000"/>
          <w:spacing w:val="-11"/>
          <w:kern w:val="0"/>
          <w:sz w:val="32"/>
          <w:szCs w:val="32"/>
          <w:lang w:val="en-US" w:eastAsia="en-US" w:bidi="ar-SA"/>
        </w:rPr>
        <w:t>。</w:t>
      </w:r>
    </w:p>
    <w:p w14:paraId="509C74B5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52" w:line="560" w:lineRule="exact"/>
        <w:ind w:left="646" w:firstLine="0"/>
        <w:jc w:val="both"/>
        <w:textAlignment w:val="baseline"/>
        <w:rPr>
          <w:rFonts w:ascii="Times New Roman" w:hAnsi="Times New Roman" w:eastAsia="黑体" w:cs="黑体"/>
          <w:sz w:val="32"/>
          <w:szCs w:val="32"/>
          <w:highlight w:val="none"/>
        </w:rPr>
      </w:pPr>
      <w:r>
        <w:rPr>
          <w:rFonts w:ascii="Times New Roman" w:hAnsi="Times New Roman" w:eastAsia="黑体" w:cs="黑体"/>
          <w:spacing w:val="-2"/>
          <w:sz w:val="32"/>
          <w:szCs w:val="32"/>
          <w:highlight w:val="none"/>
        </w:rPr>
        <w:t>十一、政府采购支出说明</w:t>
      </w:r>
    </w:p>
    <w:p w14:paraId="594C58BC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04" w:line="560" w:lineRule="exact"/>
        <w:ind w:left="2" w:firstLine="588" w:firstLineChars="200"/>
        <w:jc w:val="both"/>
        <w:textAlignment w:val="baseline"/>
        <w:rPr>
          <w:rFonts w:ascii="Times New Roman" w:hAnsi="Times New Roman" w:eastAsia="方正仿宋_GBK"/>
          <w:spacing w:val="-13"/>
          <w:sz w:val="32"/>
        </w:rPr>
      </w:pPr>
      <w:r>
        <w:rPr>
          <w:rFonts w:ascii="Times New Roman" w:hAnsi="Times New Roman" w:eastAsia="方正仿宋_GBK"/>
          <w:spacing w:val="-13"/>
          <w:sz w:val="32"/>
        </w:rPr>
        <w:t>2023年度部门名称政府采购支出总额</w:t>
      </w:r>
      <w:r>
        <w:rPr>
          <w:rFonts w:hint="eastAsia" w:ascii="Times New Roman" w:hAnsi="Times New Roman" w:eastAsia="方正仿宋_GBK"/>
          <w:spacing w:val="-13"/>
          <w:sz w:val="32"/>
          <w:lang w:val="en-US" w:eastAsia="zh-CN"/>
        </w:rPr>
        <w:t>40.64</w:t>
      </w:r>
      <w:r>
        <w:rPr>
          <w:rFonts w:ascii="Times New Roman" w:hAnsi="Times New Roman" w:eastAsia="方正仿宋_GBK"/>
          <w:spacing w:val="-13"/>
          <w:sz w:val="32"/>
        </w:rPr>
        <w:t>万元，其中：</w:t>
      </w:r>
      <w:r>
        <w:rPr>
          <w:rFonts w:hint="eastAsia" w:ascii="Times New Roman" w:hAnsi="Times New Roman" w:eastAsia="方正仿宋_GBK"/>
          <w:spacing w:val="-13"/>
          <w:sz w:val="32"/>
          <w:lang w:eastAsia="zh-CN"/>
        </w:rPr>
        <w:t>政府</w:t>
      </w:r>
      <w:r>
        <w:rPr>
          <w:rFonts w:ascii="Times New Roman" w:hAnsi="Times New Roman" w:eastAsia="方正仿宋_GBK"/>
          <w:spacing w:val="-13"/>
          <w:sz w:val="32"/>
        </w:rPr>
        <w:t>采购货物支出</w:t>
      </w:r>
      <w:r>
        <w:rPr>
          <w:rFonts w:hint="eastAsia" w:ascii="Times New Roman" w:hAnsi="Times New Roman" w:eastAsia="方正仿宋_GBK"/>
          <w:spacing w:val="-13"/>
          <w:sz w:val="32"/>
          <w:lang w:val="en-US" w:eastAsia="zh-CN"/>
        </w:rPr>
        <w:t>35.1</w:t>
      </w:r>
      <w:r>
        <w:rPr>
          <w:rFonts w:ascii="Times New Roman" w:hAnsi="Times New Roman" w:eastAsia="方正仿宋_GBK"/>
          <w:spacing w:val="-13"/>
          <w:sz w:val="32"/>
        </w:rPr>
        <w:t>万元、政府采购服务支出</w:t>
      </w:r>
      <w:r>
        <w:rPr>
          <w:rFonts w:hint="eastAsia" w:ascii="Times New Roman" w:hAnsi="Times New Roman" w:eastAsia="方正仿宋_GBK"/>
          <w:spacing w:val="-13"/>
          <w:sz w:val="32"/>
          <w:lang w:val="en-US" w:eastAsia="zh-CN"/>
        </w:rPr>
        <w:t>5.54</w:t>
      </w:r>
      <w:r>
        <w:rPr>
          <w:rFonts w:ascii="Times New Roman" w:hAnsi="Times New Roman" w:eastAsia="方正仿宋_GBK"/>
          <w:spacing w:val="-13"/>
          <w:sz w:val="32"/>
        </w:rPr>
        <w:t>万元。</w:t>
      </w:r>
    </w:p>
    <w:p w14:paraId="0B32F551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50" w:line="560" w:lineRule="exact"/>
        <w:ind w:left="644" w:firstLine="0"/>
        <w:jc w:val="both"/>
        <w:textAlignment w:val="baseline"/>
        <w:rPr>
          <w:rFonts w:ascii="Times New Roman" w:hAnsi="Times New Roman" w:eastAsia="黑体" w:cs="黑体"/>
          <w:sz w:val="32"/>
          <w:szCs w:val="32"/>
          <w:highlight w:val="none"/>
        </w:rPr>
      </w:pPr>
      <w:r>
        <w:rPr>
          <w:rFonts w:ascii="Times New Roman" w:hAnsi="Times New Roman" w:eastAsia="黑体" w:cs="黑体"/>
          <w:spacing w:val="-1"/>
          <w:sz w:val="32"/>
          <w:szCs w:val="32"/>
          <w:highlight w:val="none"/>
        </w:rPr>
        <w:t>十二、国有资产占用情况说明</w:t>
      </w:r>
    </w:p>
    <w:p w14:paraId="2D154671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04" w:line="560" w:lineRule="exact"/>
        <w:ind w:left="2" w:firstLine="596" w:firstLineChars="200"/>
        <w:jc w:val="both"/>
        <w:textAlignment w:val="baseline"/>
        <w:rPr>
          <w:rFonts w:ascii="方正仿宋_GBK" w:hAnsi="方正仿宋_GBK" w:eastAsia="方正仿宋_GBK"/>
          <w:spacing w:val="-11"/>
          <w:sz w:val="32"/>
        </w:rPr>
      </w:pPr>
      <w:r>
        <w:rPr>
          <w:rFonts w:ascii="方正仿宋_GBK" w:hAnsi="方正仿宋_GBK" w:eastAsia="方正仿宋_GBK"/>
          <w:spacing w:val="-11"/>
          <w:sz w:val="32"/>
          <w:lang w:val="en-US" w:eastAsia="zh-CN"/>
        </w:rPr>
        <w:t>本单位为中央垂管单位，尚未在区内进行资产录入</w:t>
      </w:r>
      <w:r>
        <w:rPr>
          <w:rFonts w:hint="default" w:ascii="方正仿宋_GBK" w:hAnsi="方正仿宋_GBK" w:eastAsia="方正仿宋_GBK"/>
          <w:spacing w:val="-11"/>
          <w:sz w:val="32"/>
          <w:lang w:val="en-US" w:eastAsia="zh-CN"/>
        </w:rPr>
        <w:t>。</w:t>
      </w:r>
    </w:p>
    <w:p w14:paraId="3DEF8C5C">
      <w:pPr>
        <w:keepNext w:val="0"/>
        <w:keepLines w:val="0"/>
        <w:pageBreakBefore w:val="0"/>
        <w:widowControl/>
        <w:numPr>
          <w:ilvl w:val="0"/>
          <w:numId w:val="3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50" w:line="560" w:lineRule="exact"/>
        <w:ind w:left="644" w:firstLine="0"/>
        <w:jc w:val="both"/>
        <w:textAlignment w:val="baseline"/>
        <w:outlineLvl w:val="0"/>
        <w:rPr>
          <w:rFonts w:ascii="Times New Roman" w:hAnsi="Times New Roman" w:eastAsia="黑体" w:cs="黑体"/>
          <w:spacing w:val="-2"/>
          <w:sz w:val="32"/>
          <w:szCs w:val="32"/>
          <w:highlight w:val="none"/>
        </w:rPr>
      </w:pPr>
      <w:r>
        <w:rPr>
          <w:rFonts w:ascii="Times New Roman" w:hAnsi="Times New Roman" w:eastAsia="黑体" w:cs="黑体"/>
          <w:spacing w:val="-2"/>
          <w:sz w:val="32"/>
          <w:szCs w:val="32"/>
          <w:highlight w:val="none"/>
        </w:rPr>
        <w:t>预算绩效情况说明</w:t>
      </w:r>
    </w:p>
    <w:p w14:paraId="7CB21DFB">
      <w:pPr>
        <w:keepNext w:val="0"/>
        <w:keepLines w:val="0"/>
        <w:pageBreakBefore w:val="0"/>
        <w:widowControl/>
        <w:numPr>
          <w:ilvl w:val="0"/>
          <w:numId w:val="0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50" w:line="560" w:lineRule="exact"/>
        <w:ind w:left="644" w:leftChars="0"/>
        <w:jc w:val="both"/>
        <w:textAlignment w:val="baseline"/>
        <w:outlineLvl w:val="0"/>
        <w:rPr>
          <w:rFonts w:ascii="Times New Roman" w:hAnsi="Times New Roman" w:eastAsia="方正仿宋_GBK" w:cs="仿宋"/>
          <w:b/>
          <w:bCs/>
          <w:snapToGrid w:val="0"/>
          <w:color w:val="000000"/>
          <w:spacing w:val="-13"/>
          <w:kern w:val="0"/>
          <w:sz w:val="32"/>
          <w:szCs w:val="32"/>
          <w:lang w:val="en-US" w:eastAsia="en-US" w:bidi="ar-SA"/>
        </w:rPr>
      </w:pPr>
      <w:r>
        <w:rPr>
          <w:rFonts w:hint="eastAsia" w:ascii="Times New Roman" w:hAnsi="Times New Roman" w:eastAsia="方正仿宋_GBK" w:cs="仿宋"/>
          <w:b/>
          <w:bCs/>
          <w:snapToGrid w:val="0"/>
          <w:color w:val="000000"/>
          <w:spacing w:val="-13"/>
          <w:kern w:val="0"/>
          <w:sz w:val="32"/>
          <w:szCs w:val="32"/>
          <w:lang w:val="en-US" w:eastAsia="zh-CN" w:bidi="ar-SA"/>
        </w:rPr>
        <w:t>（一）</w:t>
      </w:r>
      <w:r>
        <w:rPr>
          <w:rFonts w:ascii="Times New Roman" w:hAnsi="Times New Roman" w:eastAsia="方正仿宋_GBK" w:cs="仿宋"/>
          <w:b/>
          <w:bCs/>
          <w:snapToGrid w:val="0"/>
          <w:color w:val="000000"/>
          <w:spacing w:val="-13"/>
          <w:kern w:val="0"/>
          <w:sz w:val="32"/>
          <w:szCs w:val="32"/>
          <w:lang w:val="en-US" w:eastAsia="en-US" w:bidi="ar-SA"/>
        </w:rPr>
        <w:t>预算绩效管理工作开展情况</w:t>
      </w:r>
    </w:p>
    <w:p w14:paraId="3A8918F5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04" w:line="560" w:lineRule="exact"/>
        <w:ind w:left="17" w:right="92" w:firstLine="628" w:firstLineChars="200"/>
        <w:jc w:val="both"/>
        <w:textAlignment w:val="baseline"/>
        <w:rPr>
          <w:rFonts w:ascii="Times New Roman" w:hAnsi="Times New Roman" w:eastAsia="方正仿宋_GBK"/>
          <w:spacing w:val="-13"/>
          <w:sz w:val="32"/>
        </w:rPr>
      </w:pPr>
      <w:r>
        <w:rPr>
          <w:rFonts w:ascii="Times New Roman" w:hAnsi="Times New Roman"/>
          <w:spacing w:val="-3"/>
          <w:sz w:val="32"/>
          <w:highlight w:val="none"/>
        </w:rPr>
        <w:t>根</w:t>
      </w:r>
      <w:r>
        <w:rPr>
          <w:rFonts w:ascii="Times New Roman" w:hAnsi="Times New Roman" w:eastAsia="方正仿宋_GBK"/>
          <w:spacing w:val="-13"/>
          <w:sz w:val="32"/>
        </w:rPr>
        <w:t>据预算绩效管理要求，我</w:t>
      </w:r>
      <w:r>
        <w:rPr>
          <w:rFonts w:ascii="方正仿宋_GBK" w:hAnsi="方正仿宋_GBK" w:eastAsia="方正仿宋_GBK" w:cs="仿宋"/>
          <w:snapToGrid w:val="0"/>
          <w:color w:val="000000"/>
          <w:spacing w:val="-11"/>
          <w:kern w:val="0"/>
          <w:sz w:val="32"/>
          <w:szCs w:val="32"/>
          <w:lang w:val="en-US" w:eastAsia="en-US" w:bidi="ar-SA"/>
        </w:rPr>
        <w:t>部门(单位)组</w:t>
      </w:r>
      <w:r>
        <w:rPr>
          <w:rFonts w:ascii="Times New Roman" w:hAnsi="Times New Roman" w:eastAsia="方正仿宋_GBK"/>
          <w:spacing w:val="-13"/>
          <w:sz w:val="32"/>
        </w:rPr>
        <w:t>织对2023年度一般公共预算项目支出全面开展绩效自评，共涉及项目</w:t>
      </w:r>
      <w:r>
        <w:rPr>
          <w:rFonts w:hint="eastAsia" w:ascii="Times New Roman" w:hAnsi="Times New Roman" w:eastAsia="方正仿宋_GBK"/>
          <w:spacing w:val="-13"/>
          <w:sz w:val="32"/>
          <w:lang w:val="en-US" w:eastAsia="zh-CN"/>
        </w:rPr>
        <w:t>1</w:t>
      </w:r>
      <w:r>
        <w:rPr>
          <w:rFonts w:ascii="Times New Roman" w:hAnsi="Times New Roman" w:eastAsia="方正仿宋_GBK"/>
          <w:spacing w:val="-13"/>
          <w:sz w:val="32"/>
        </w:rPr>
        <w:t>个</w:t>
      </w:r>
      <w:r>
        <w:rPr>
          <w:rFonts w:hint="eastAsia" w:ascii="Times New Roman" w:hAnsi="Times New Roman" w:eastAsia="方正仿宋_GBK"/>
          <w:spacing w:val="-13"/>
          <w:sz w:val="32"/>
          <w:lang w:eastAsia="zh-CN"/>
        </w:rPr>
        <w:t>，</w:t>
      </w:r>
      <w:r>
        <w:rPr>
          <w:rFonts w:ascii="Times New Roman" w:hAnsi="Times New Roman" w:eastAsia="方正仿宋_GBK"/>
          <w:spacing w:val="-13"/>
          <w:sz w:val="32"/>
        </w:rPr>
        <w:t>资金</w:t>
      </w:r>
      <w:r>
        <w:rPr>
          <w:rFonts w:hint="eastAsia" w:ascii="Times New Roman" w:hAnsi="Times New Roman" w:eastAsia="方正仿宋_GBK"/>
          <w:spacing w:val="-13"/>
          <w:sz w:val="32"/>
          <w:lang w:val="en-US" w:eastAsia="zh-CN"/>
        </w:rPr>
        <w:t>4,727.16</w:t>
      </w:r>
      <w:r>
        <w:rPr>
          <w:rFonts w:ascii="Times New Roman" w:hAnsi="Times New Roman" w:eastAsia="方正仿宋_GBK"/>
          <w:spacing w:val="-13"/>
          <w:sz w:val="32"/>
        </w:rPr>
        <w:t>万元，占一般公共预算项目支出总额的</w:t>
      </w:r>
      <w:r>
        <w:rPr>
          <w:rFonts w:hint="eastAsia" w:ascii="Times New Roman" w:hAnsi="Times New Roman" w:eastAsia="方正仿宋_GBK"/>
          <w:spacing w:val="-13"/>
          <w:sz w:val="32"/>
          <w:lang w:val="en-US" w:eastAsia="zh-CN"/>
        </w:rPr>
        <w:t>100.00</w:t>
      </w:r>
      <w:r>
        <w:rPr>
          <w:rFonts w:ascii="Times New Roman" w:hAnsi="Times New Roman" w:eastAsia="方正仿宋_GBK"/>
          <w:spacing w:val="-13"/>
          <w:sz w:val="32"/>
        </w:rPr>
        <w:t>%。从绩效评价情况来看，</w:t>
      </w:r>
      <w:r>
        <w:rPr>
          <w:rFonts w:hint="eastAsia" w:ascii="Times New Roman" w:hAnsi="Times New Roman" w:eastAsia="方正仿宋_GBK"/>
          <w:spacing w:val="-13"/>
          <w:sz w:val="32"/>
          <w:lang w:eastAsia="zh-CN"/>
        </w:rPr>
        <w:t>大</w:t>
      </w:r>
      <w:r>
        <w:rPr>
          <w:rFonts w:hint="eastAsia" w:ascii="Times New Roman" w:hAnsi="Times New Roman" w:eastAsia="方正仿宋_GBK"/>
          <w:spacing w:val="-13"/>
          <w:sz w:val="32"/>
        </w:rPr>
        <w:t>队领导高度重视，专门强调项目支出绩效自评工作的重要性和必要性，明确专人负责做好各项目绩效自评工作，确保绩效自评工作有序、有效开展</w:t>
      </w:r>
      <w:r>
        <w:rPr>
          <w:rFonts w:ascii="Times New Roman" w:hAnsi="Times New Roman" w:eastAsia="方正仿宋_GBK"/>
          <w:spacing w:val="-13"/>
          <w:sz w:val="32"/>
        </w:rPr>
        <w:t>。</w:t>
      </w:r>
    </w:p>
    <w:p w14:paraId="5E0E9E9E">
      <w:pPr>
        <w:keepNext w:val="0"/>
        <w:keepLines w:val="0"/>
        <w:pageBreakBefore w:val="0"/>
        <w:widowControl/>
        <w:numPr>
          <w:ilvl w:val="0"/>
          <w:numId w:val="0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56" w:line="560" w:lineRule="exact"/>
        <w:ind w:firstLine="599" w:firstLineChars="200"/>
        <w:jc w:val="both"/>
        <w:textAlignment w:val="baseline"/>
        <w:rPr>
          <w:rFonts w:ascii="Times New Roman" w:hAnsi="Times New Roman" w:eastAsia="方正仿宋_GBK" w:cs="仿宋"/>
          <w:b/>
          <w:bCs/>
          <w:snapToGrid w:val="0"/>
          <w:color w:val="000000"/>
          <w:spacing w:val="-13"/>
          <w:kern w:val="0"/>
          <w:sz w:val="32"/>
          <w:szCs w:val="32"/>
          <w:lang w:val="en-US" w:eastAsia="en-US" w:bidi="ar-SA"/>
        </w:rPr>
      </w:pPr>
      <w:r>
        <w:rPr>
          <w:rFonts w:hint="eastAsia" w:ascii="方正仿宋_GBK" w:hAnsi="方正仿宋_GBK" w:eastAsia="方正仿宋_GBK" w:cs="仿宋"/>
          <w:b/>
          <w:bCs/>
          <w:snapToGrid w:val="0"/>
          <w:color w:val="000000"/>
          <w:spacing w:val="-11"/>
          <w:kern w:val="0"/>
          <w:sz w:val="32"/>
          <w:szCs w:val="32"/>
          <w:lang w:val="en-US" w:eastAsia="zh-CN" w:bidi="ar-SA"/>
        </w:rPr>
        <w:t>（二）</w:t>
      </w:r>
      <w:r>
        <w:rPr>
          <w:rFonts w:hint="eastAsia" w:ascii="方正仿宋_GBK" w:hAnsi="方正仿宋_GBK" w:eastAsia="方正仿宋_GBK" w:cs="仿宋"/>
          <w:b/>
          <w:bCs/>
          <w:snapToGrid w:val="0"/>
          <w:color w:val="000000"/>
          <w:spacing w:val="-11"/>
          <w:kern w:val="0"/>
          <w:sz w:val="32"/>
          <w:szCs w:val="32"/>
          <w:lang w:val="en-US" w:eastAsia="en-US" w:bidi="ar-SA"/>
        </w:rPr>
        <w:t>部门(单位)整体支出自评结果</w:t>
      </w:r>
    </w:p>
    <w:p w14:paraId="57E00D35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04" w:line="560" w:lineRule="exact"/>
        <w:ind w:left="2" w:firstLine="596" w:firstLineChars="200"/>
        <w:jc w:val="both"/>
        <w:textAlignment w:val="baseline"/>
        <w:rPr>
          <w:rFonts w:ascii="Times New Roman" w:hAnsi="Times New Roman" w:eastAsia="方正仿宋_GBK"/>
          <w:spacing w:val="-13"/>
          <w:sz w:val="32"/>
        </w:rPr>
      </w:pPr>
      <w:r>
        <w:rPr>
          <w:rFonts w:hint="eastAsia" w:ascii="方正仿宋_GBK" w:hAnsi="方正仿宋_GBK" w:eastAsia="方正仿宋_GBK" w:cs="仿宋"/>
          <w:snapToGrid w:val="0"/>
          <w:color w:val="000000"/>
          <w:spacing w:val="-11"/>
          <w:kern w:val="0"/>
          <w:sz w:val="32"/>
          <w:szCs w:val="32"/>
          <w:lang w:val="en-US" w:eastAsia="en-US" w:bidi="ar-SA"/>
        </w:rPr>
        <w:t>我部门(单位)组织对</w:t>
      </w:r>
      <w:r>
        <w:rPr>
          <w:rFonts w:hint="eastAsia" w:ascii="方正仿宋_GBK" w:hAnsi="方正仿宋_GBK" w:eastAsia="方正仿宋_GBK" w:cs="仿宋"/>
          <w:snapToGrid w:val="0"/>
          <w:color w:val="000000"/>
          <w:spacing w:val="-11"/>
          <w:kern w:val="0"/>
          <w:sz w:val="32"/>
          <w:szCs w:val="32"/>
          <w:lang w:val="en-US" w:eastAsia="zh-CN" w:bidi="ar-SA"/>
        </w:rPr>
        <w:t>1</w:t>
      </w:r>
      <w:r>
        <w:rPr>
          <w:rFonts w:hint="eastAsia" w:ascii="方正仿宋_GBK" w:hAnsi="方正仿宋_GBK" w:eastAsia="方正仿宋_GBK" w:cs="仿宋"/>
          <w:snapToGrid w:val="0"/>
          <w:color w:val="000000"/>
          <w:spacing w:val="-11"/>
          <w:kern w:val="0"/>
          <w:sz w:val="32"/>
          <w:szCs w:val="32"/>
          <w:lang w:val="en-US" w:eastAsia="en-US" w:bidi="ar-SA"/>
        </w:rPr>
        <w:t>个部门(单位)开</w:t>
      </w:r>
      <w:r>
        <w:rPr>
          <w:rFonts w:ascii="Times New Roman" w:hAnsi="Times New Roman" w:eastAsia="方正仿宋_GBK"/>
          <w:spacing w:val="-13"/>
          <w:sz w:val="32"/>
        </w:rPr>
        <w:t>展整体支出绩效自评，资金</w:t>
      </w:r>
      <w:r>
        <w:rPr>
          <w:rFonts w:hint="eastAsia" w:ascii="Times New Roman" w:hAnsi="Times New Roman" w:eastAsia="方正仿宋_GBK"/>
          <w:spacing w:val="-13"/>
          <w:sz w:val="32"/>
          <w:lang w:val="en-US" w:eastAsia="zh-CN"/>
        </w:rPr>
        <w:t>3,676.7</w:t>
      </w:r>
      <w:r>
        <w:rPr>
          <w:rFonts w:ascii="Times New Roman" w:hAnsi="Times New Roman" w:eastAsia="方正仿宋_GBK"/>
          <w:spacing w:val="-13"/>
          <w:sz w:val="32"/>
        </w:rPr>
        <w:t>万元，从评价情况来看，</w:t>
      </w:r>
      <w:r>
        <w:rPr>
          <w:rFonts w:hint="eastAsia" w:ascii="Times New Roman" w:hAnsi="Times New Roman" w:eastAsia="方正仿宋_GBK"/>
          <w:spacing w:val="-13"/>
          <w:sz w:val="32"/>
        </w:rPr>
        <w:t>根据项目的产出数量、质量、时效以及经济效益、社会效益、服务对象满意度等。</w:t>
      </w:r>
    </w:p>
    <w:p w14:paraId="472C1151">
      <w:pPr>
        <w:keepNext w:val="0"/>
        <w:keepLines w:val="0"/>
        <w:pageBreakBefore w:val="0"/>
        <w:widowControl/>
        <w:numPr>
          <w:ilvl w:val="0"/>
          <w:numId w:val="0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56" w:line="560" w:lineRule="exact"/>
        <w:ind w:firstLine="599" w:firstLineChars="200"/>
        <w:jc w:val="both"/>
        <w:textAlignment w:val="baseline"/>
        <w:rPr>
          <w:rFonts w:hint="eastAsia" w:ascii="方正仿宋_GBK" w:hAnsi="方正仿宋_GBK" w:eastAsia="方正仿宋_GBK" w:cs="仿宋"/>
          <w:b/>
          <w:bCs/>
          <w:snapToGrid w:val="0"/>
          <w:color w:val="000000"/>
          <w:spacing w:val="-11"/>
          <w:kern w:val="0"/>
          <w:sz w:val="32"/>
          <w:szCs w:val="32"/>
          <w:lang w:val="en-US" w:eastAsia="zh-CN" w:bidi="ar-SA"/>
        </w:rPr>
      </w:pPr>
      <w:r>
        <w:rPr>
          <w:rFonts w:hint="eastAsia" w:ascii="方正仿宋_GBK" w:hAnsi="方正仿宋_GBK" w:eastAsia="方正仿宋_GBK" w:cs="仿宋"/>
          <w:b/>
          <w:bCs/>
          <w:snapToGrid w:val="0"/>
          <w:color w:val="000000"/>
          <w:spacing w:val="-11"/>
          <w:kern w:val="0"/>
          <w:sz w:val="32"/>
          <w:szCs w:val="32"/>
          <w:lang w:val="en-US" w:eastAsia="zh-CN" w:bidi="ar-SA"/>
        </w:rPr>
        <w:t>（三）项目支出自评结果</w:t>
      </w:r>
    </w:p>
    <w:p w14:paraId="7241DC6C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04" w:line="560" w:lineRule="exact"/>
        <w:ind w:left="2" w:firstLine="596" w:firstLineChars="200"/>
        <w:jc w:val="both"/>
        <w:textAlignment w:val="baseline"/>
        <w:rPr>
          <w:rFonts w:ascii="Times New Roman" w:hAnsi="Times New Roman" w:eastAsia="方正仿宋_GBK"/>
          <w:spacing w:val="-13"/>
          <w:sz w:val="32"/>
        </w:rPr>
      </w:pPr>
      <w:r>
        <w:rPr>
          <w:rFonts w:ascii="方正仿宋_GBK" w:hAnsi="方正仿宋_GBK" w:eastAsia="方正仿宋_GBK"/>
          <w:spacing w:val="-11"/>
          <w:sz w:val="32"/>
          <w:lang w:val="en-US" w:eastAsia="zh-CN"/>
        </w:rPr>
        <w:t>我部门(单位)</w:t>
      </w:r>
      <w:r>
        <w:rPr>
          <w:rFonts w:ascii="Times New Roman" w:hAnsi="Times New Roman" w:eastAsia="方正仿宋_GBK"/>
          <w:spacing w:val="-13"/>
          <w:sz w:val="32"/>
        </w:rPr>
        <w:t>在202</w:t>
      </w:r>
      <w:r>
        <w:rPr>
          <w:rFonts w:hint="eastAsia" w:ascii="Times New Roman" w:hAnsi="Times New Roman" w:eastAsia="方正仿宋_GBK"/>
          <w:spacing w:val="-13"/>
          <w:sz w:val="32"/>
          <w:lang w:val="en-US" w:eastAsia="zh-CN"/>
        </w:rPr>
        <w:t>3</w:t>
      </w:r>
      <w:r>
        <w:rPr>
          <w:rFonts w:ascii="Times New Roman" w:hAnsi="Times New Roman" w:eastAsia="方正仿宋_GBK"/>
          <w:spacing w:val="-13"/>
          <w:sz w:val="32"/>
        </w:rPr>
        <w:t>年度部门决算中反映所有项目绩效自评结果，共涉及</w:t>
      </w:r>
      <w:r>
        <w:rPr>
          <w:rFonts w:hint="eastAsia" w:ascii="Times New Roman" w:hAnsi="Times New Roman" w:eastAsia="方正仿宋_GBK"/>
          <w:spacing w:val="-13"/>
          <w:sz w:val="32"/>
          <w:lang w:val="en-US" w:eastAsia="zh-CN"/>
        </w:rPr>
        <w:t>1</w:t>
      </w:r>
      <w:r>
        <w:rPr>
          <w:rFonts w:ascii="Times New Roman" w:hAnsi="Times New Roman" w:eastAsia="方正仿宋_GBK"/>
          <w:spacing w:val="-13"/>
          <w:sz w:val="32"/>
        </w:rPr>
        <w:t>个一级项目。</w:t>
      </w:r>
    </w:p>
    <w:p w14:paraId="444DFE21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04" w:line="560" w:lineRule="exact"/>
        <w:ind w:left="2" w:firstLine="588" w:firstLineChars="200"/>
        <w:jc w:val="both"/>
        <w:textAlignment w:val="baseline"/>
        <w:rPr>
          <w:rFonts w:ascii="Times New Roman" w:hAnsi="Times New Roman" w:eastAsia="方正仿宋_GBK"/>
          <w:spacing w:val="-13"/>
          <w:sz w:val="32"/>
        </w:rPr>
      </w:pPr>
      <w:r>
        <w:rPr>
          <w:rFonts w:ascii="Times New Roman" w:hAnsi="Times New Roman" w:eastAsia="方正仿宋_GBK"/>
          <w:spacing w:val="-13"/>
          <w:sz w:val="32"/>
        </w:rPr>
        <w:t>1.</w:t>
      </w:r>
      <w:r>
        <w:rPr>
          <w:rFonts w:hint="eastAsia" w:ascii="Times New Roman" w:hAnsi="Times New Roman" w:eastAsia="方正仿宋_GBK"/>
          <w:spacing w:val="-13"/>
          <w:sz w:val="32"/>
        </w:rPr>
        <w:t>国家综合性消防救援队伍支出</w:t>
      </w:r>
      <w:r>
        <w:rPr>
          <w:rFonts w:ascii="Times New Roman" w:hAnsi="Times New Roman" w:eastAsia="方正仿宋_GBK"/>
          <w:spacing w:val="-13"/>
          <w:sz w:val="32"/>
        </w:rPr>
        <w:t>项目绩效自评综述：项目全年预算数为</w:t>
      </w:r>
      <w:r>
        <w:rPr>
          <w:rFonts w:hint="eastAsia" w:ascii="Times New Roman" w:hAnsi="Times New Roman" w:eastAsia="方正仿宋_GBK"/>
          <w:spacing w:val="-13"/>
          <w:sz w:val="32"/>
          <w:lang w:val="en-US" w:eastAsia="zh-CN"/>
        </w:rPr>
        <w:t>3,762.9</w:t>
      </w:r>
      <w:r>
        <w:rPr>
          <w:rFonts w:ascii="Times New Roman" w:hAnsi="Times New Roman" w:eastAsia="方正仿宋_GBK"/>
          <w:spacing w:val="-13"/>
          <w:sz w:val="32"/>
        </w:rPr>
        <w:t>万元，执行数为</w:t>
      </w:r>
      <w:r>
        <w:rPr>
          <w:rFonts w:hint="eastAsia" w:ascii="Times New Roman" w:hAnsi="Times New Roman" w:eastAsia="方正仿宋_GBK"/>
          <w:spacing w:val="-13"/>
          <w:sz w:val="32"/>
          <w:lang w:val="en-US" w:eastAsia="zh-CN"/>
        </w:rPr>
        <w:t>3,762.9</w:t>
      </w:r>
      <w:r>
        <w:rPr>
          <w:rFonts w:ascii="Times New Roman" w:hAnsi="Times New Roman" w:eastAsia="方正仿宋_GBK"/>
          <w:spacing w:val="-13"/>
          <w:sz w:val="32"/>
        </w:rPr>
        <w:t>万元，完成预算的</w:t>
      </w:r>
      <w:r>
        <w:rPr>
          <w:rFonts w:hint="eastAsia" w:ascii="Times New Roman" w:hAnsi="Times New Roman" w:eastAsia="方正仿宋_GBK"/>
          <w:spacing w:val="-13"/>
          <w:sz w:val="32"/>
          <w:lang w:val="en-US" w:eastAsia="zh-CN"/>
        </w:rPr>
        <w:t>100.00</w:t>
      </w:r>
      <w:r>
        <w:rPr>
          <w:rFonts w:ascii="Times New Roman" w:hAnsi="Times New Roman" w:eastAsia="方正仿宋_GBK"/>
          <w:spacing w:val="-13"/>
          <w:sz w:val="32"/>
        </w:rPr>
        <w:t>%。主要产出和效益是：一是</w:t>
      </w:r>
      <w:r>
        <w:rPr>
          <w:rFonts w:hint="eastAsia" w:ascii="Times New Roman" w:hAnsi="Times New Roman" w:eastAsia="方正仿宋_GBK"/>
          <w:spacing w:val="-13"/>
          <w:sz w:val="32"/>
        </w:rPr>
        <w:t>以宣贯下佛按法律法规为契机，压实各部门消防安全责任</w:t>
      </w:r>
      <w:r>
        <w:rPr>
          <w:rFonts w:ascii="Times New Roman" w:hAnsi="Times New Roman" w:eastAsia="方正仿宋_GBK"/>
          <w:spacing w:val="-13"/>
          <w:sz w:val="32"/>
        </w:rPr>
        <w:t>；二是</w:t>
      </w:r>
      <w:r>
        <w:rPr>
          <w:rFonts w:hint="eastAsia" w:ascii="Times New Roman" w:hAnsi="Times New Roman" w:eastAsia="方正仿宋_GBK"/>
          <w:spacing w:val="-13"/>
          <w:sz w:val="32"/>
        </w:rPr>
        <w:t>以消防安全信息化为突破口，提升治理创新能力</w:t>
      </w:r>
      <w:r>
        <w:rPr>
          <w:rFonts w:hint="eastAsia" w:ascii="Times New Roman" w:hAnsi="Times New Roman" w:eastAsia="方正仿宋_GBK"/>
          <w:spacing w:val="-13"/>
          <w:sz w:val="32"/>
          <w:lang w:eastAsia="zh-CN"/>
        </w:rPr>
        <w:t>；三是以“十四五”规划为引领，大力推进公共消防设施建设；四是以消防安全宣传教育为载体，提升全民消防安全素质</w:t>
      </w:r>
      <w:r>
        <w:rPr>
          <w:rFonts w:ascii="Times New Roman" w:hAnsi="Times New Roman" w:eastAsia="方正仿宋_GBK"/>
          <w:spacing w:val="-13"/>
          <w:sz w:val="32"/>
        </w:rPr>
        <w:t>。发现的问题及原因：一是</w:t>
      </w:r>
      <w:r>
        <w:rPr>
          <w:rFonts w:hint="eastAsia" w:ascii="Times New Roman" w:hAnsi="Times New Roman" w:eastAsia="方正仿宋_GBK"/>
          <w:spacing w:val="-13"/>
          <w:sz w:val="32"/>
        </w:rPr>
        <w:t>是在项目绩效目标与指标设定上不够科学</w:t>
      </w:r>
      <w:r>
        <w:rPr>
          <w:rFonts w:ascii="Times New Roman" w:hAnsi="Times New Roman" w:eastAsia="方正仿宋_GBK"/>
          <w:spacing w:val="-13"/>
          <w:sz w:val="32"/>
        </w:rPr>
        <w:t>；二是</w:t>
      </w:r>
      <w:r>
        <w:rPr>
          <w:rFonts w:hint="eastAsia" w:ascii="Times New Roman" w:hAnsi="Times New Roman" w:eastAsia="方正仿宋_GBK"/>
          <w:spacing w:val="-13"/>
          <w:sz w:val="32"/>
        </w:rPr>
        <w:t>绩效标准表述不够准确，整体逻辑关系不够清晰</w:t>
      </w:r>
      <w:r>
        <w:rPr>
          <w:rFonts w:hint="eastAsia" w:ascii="Times New Roman" w:hAnsi="Times New Roman" w:eastAsia="方正仿宋_GBK"/>
          <w:spacing w:val="-13"/>
          <w:sz w:val="32"/>
          <w:lang w:eastAsia="zh-CN"/>
        </w:rPr>
        <w:t>，</w:t>
      </w:r>
      <w:r>
        <w:rPr>
          <w:rFonts w:hint="eastAsia" w:ascii="Times New Roman" w:hAnsi="Times New Roman" w:eastAsia="方正仿宋_GBK"/>
          <w:spacing w:val="-13"/>
          <w:sz w:val="32"/>
        </w:rPr>
        <w:t>在评价工作中，对部分指标的支撑材料收集难度较大</w:t>
      </w:r>
      <w:r>
        <w:rPr>
          <w:rFonts w:ascii="Times New Roman" w:hAnsi="Times New Roman" w:eastAsia="方正仿宋_GBK"/>
          <w:spacing w:val="-13"/>
          <w:sz w:val="32"/>
        </w:rPr>
        <w:t>。下一步改进措施：</w:t>
      </w:r>
      <w:r>
        <w:rPr>
          <w:rFonts w:hint="eastAsia" w:ascii="Times New Roman" w:hAnsi="Times New Roman" w:eastAsia="方正仿宋_GBK"/>
          <w:spacing w:val="-13"/>
          <w:sz w:val="32"/>
        </w:rPr>
        <w:t>大队在绩效目标的设定方面，绩效目标将会更准确化，使项目目标更简洁，更加明晰。项目绩效指标将结合项目明细具体设置，尽可能全面、客观的反映项目产出及效果，使绩效评价更加科学合理</w:t>
      </w:r>
      <w:r>
        <w:rPr>
          <w:rFonts w:ascii="Times New Roman" w:hAnsi="Times New Roman" w:eastAsia="方正仿宋_GBK"/>
          <w:spacing w:val="-13"/>
          <w:sz w:val="32"/>
        </w:rPr>
        <w:t>。</w:t>
      </w:r>
    </w:p>
    <w:p w14:paraId="413E33A1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04" w:line="560" w:lineRule="exact"/>
        <w:ind w:left="2" w:firstLine="599" w:firstLineChars="200"/>
        <w:jc w:val="both"/>
        <w:textAlignment w:val="baseline"/>
        <w:rPr>
          <w:rFonts w:ascii="方正仿宋_GBK" w:hAnsi="方正仿宋_GBK" w:eastAsia="方正仿宋_GBK"/>
          <w:b/>
          <w:bCs/>
          <w:spacing w:val="-11"/>
          <w:sz w:val="32"/>
          <w:lang w:val="en-US" w:eastAsia="zh-CN"/>
        </w:rPr>
      </w:pPr>
      <w:r>
        <w:rPr>
          <w:rFonts w:hint="eastAsia" w:ascii="方正仿宋_GBK" w:hAnsi="方正仿宋_GBK" w:eastAsia="方正仿宋_GBK"/>
          <w:b/>
          <w:bCs/>
          <w:spacing w:val="-11"/>
          <w:sz w:val="32"/>
          <w:lang w:val="en-US" w:eastAsia="zh-CN"/>
        </w:rPr>
        <w:t>（四）</w:t>
      </w:r>
      <w:r>
        <w:rPr>
          <w:rFonts w:ascii="方正仿宋_GBK" w:hAnsi="方正仿宋_GBK" w:eastAsia="方正仿宋_GBK"/>
          <w:b/>
          <w:bCs/>
          <w:spacing w:val="-11"/>
          <w:sz w:val="32"/>
          <w:lang w:val="en-US" w:eastAsia="zh-CN"/>
        </w:rPr>
        <w:t>绩效自评结果应用情况</w:t>
      </w:r>
    </w:p>
    <w:p w14:paraId="585AFA8B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04" w:line="560" w:lineRule="exact"/>
        <w:ind w:left="2" w:firstLine="588" w:firstLineChars="200"/>
        <w:jc w:val="both"/>
        <w:textAlignment w:val="baseline"/>
        <w:rPr>
          <w:rFonts w:ascii="Times New Roman" w:hAnsi="Times New Roman" w:eastAsia="方正仿宋_GBK"/>
          <w:spacing w:val="-13"/>
          <w:sz w:val="32"/>
        </w:rPr>
      </w:pPr>
      <w:r>
        <w:rPr>
          <w:rFonts w:hint="eastAsia" w:ascii="Times New Roman" w:hAnsi="Times New Roman" w:eastAsia="方正仿宋_GBK"/>
          <w:spacing w:val="-13"/>
          <w:sz w:val="32"/>
          <w:lang w:val="en-US" w:eastAsia="zh-CN"/>
        </w:rPr>
        <w:t>1.</w:t>
      </w:r>
      <w:r>
        <w:rPr>
          <w:rFonts w:ascii="Times New Roman" w:hAnsi="Times New Roman" w:eastAsia="方正仿宋_GBK"/>
          <w:spacing w:val="-13"/>
          <w:sz w:val="32"/>
        </w:rPr>
        <w:t>提高对绩效评价结果应用重要性的认识。大队提高重视绩效评价结果的应用工作，下一步将充分发挥绩效评价以评促管理、促效能，积极探索和建立一套预算管理相结合、多渠道应用评价结果的有效机制，努力提高绩效意思和财政资金使用效能。</w:t>
      </w:r>
    </w:p>
    <w:p w14:paraId="1E29373D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04" w:line="560" w:lineRule="exact"/>
        <w:ind w:left="2" w:firstLine="588" w:firstLineChars="200"/>
        <w:jc w:val="both"/>
        <w:textAlignment w:val="baseline"/>
        <w:rPr>
          <w:rFonts w:hint="eastAsia" w:ascii="Times New Roman" w:hAnsi="Times New Roman" w:eastAsia="方正仿宋_GBK"/>
          <w:spacing w:val="-13"/>
          <w:sz w:val="32"/>
        </w:rPr>
      </w:pPr>
      <w:r>
        <w:rPr>
          <w:rFonts w:hint="eastAsia" w:ascii="Times New Roman" w:hAnsi="Times New Roman" w:eastAsia="方正仿宋_GBK"/>
          <w:spacing w:val="-13"/>
          <w:sz w:val="32"/>
          <w:lang w:val="en-US" w:eastAsia="zh-CN"/>
        </w:rPr>
        <w:t>2.</w:t>
      </w:r>
      <w:r>
        <w:rPr>
          <w:rFonts w:hint="default" w:ascii="Times New Roman" w:hAnsi="Times New Roman" w:eastAsia="方正仿宋_GBK"/>
          <w:spacing w:val="-13"/>
          <w:sz w:val="32"/>
        </w:rPr>
        <w:t>建立与部门预算相结合的应用机制。大队将加强内部协调与配合，建立与部门预算相结合的应用机制，实现绩效评价与部门预算的有机结合，促进财政资金的合理分配与有效使用。</w:t>
      </w:r>
    </w:p>
    <w:p w14:paraId="29A36BEE">
      <w:pPr>
        <w:pStyle w:val="2"/>
        <w:spacing w:before="45" w:line="332" w:lineRule="auto"/>
        <w:ind w:left="35" w:right="4" w:firstLine="605"/>
        <w:jc w:val="both"/>
        <w:rPr>
          <w:highlight w:val="yellow"/>
        </w:rPr>
      </w:pPr>
    </w:p>
    <w:p w14:paraId="40E3A9F6">
      <w:pPr>
        <w:spacing w:before="143" w:line="222" w:lineRule="auto"/>
        <w:ind w:left="1006"/>
        <w:jc w:val="both"/>
        <w:rPr>
          <w:rFonts w:ascii="黑体" w:hAnsi="黑体" w:eastAsia="黑体" w:cs="黑体"/>
          <w:spacing w:val="-2"/>
          <w:sz w:val="44"/>
          <w:szCs w:val="44"/>
        </w:rPr>
        <w:sectPr>
          <w:footerReference r:id="rId8" w:type="default"/>
          <w:pgSz w:w="11900" w:h="16840"/>
          <w:pgMar w:top="1431" w:right="1686" w:bottom="1717" w:left="1785" w:header="0" w:footer="1468" w:gutter="0"/>
          <w:cols w:space="720" w:num="1"/>
        </w:sectPr>
      </w:pPr>
    </w:p>
    <w:p w14:paraId="10FFF89A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43" w:line="560" w:lineRule="exact"/>
        <w:ind w:left="0"/>
        <w:jc w:val="center"/>
        <w:textAlignment w:val="baseline"/>
        <w:rPr>
          <w:rFonts w:ascii="黑体" w:hAnsi="黑体" w:eastAsia="黑体" w:cs="黑体"/>
          <w:sz w:val="44"/>
          <w:szCs w:val="44"/>
        </w:rPr>
      </w:pPr>
      <w:r>
        <w:rPr>
          <w:rFonts w:ascii="黑体" w:hAnsi="黑体" w:eastAsia="黑体" w:cs="黑体"/>
          <w:spacing w:val="-2"/>
          <w:sz w:val="44"/>
          <w:szCs w:val="44"/>
        </w:rPr>
        <w:t>第四部分2023年重点工作完成情况</w:t>
      </w:r>
    </w:p>
    <w:p w14:paraId="3B4366FB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jc w:val="both"/>
        <w:textAlignment w:val="baseline"/>
        <w:rPr>
          <w:rFonts w:ascii="Arial"/>
          <w:sz w:val="21"/>
        </w:rPr>
      </w:pPr>
    </w:p>
    <w:p w14:paraId="43C55E45">
      <w:pPr>
        <w:pStyle w:val="2"/>
        <w:keepNext w:val="0"/>
        <w:keepLines w:val="0"/>
        <w:pageBreakBefore w:val="0"/>
        <w:widowControl/>
        <w:numPr>
          <w:ilvl w:val="0"/>
          <w:numId w:val="4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04" w:line="560" w:lineRule="exact"/>
        <w:ind w:left="1468" w:right="0" w:hanging="703"/>
        <w:jc w:val="both"/>
        <w:textAlignment w:val="baseline"/>
        <w:rPr>
          <w:spacing w:val="-14"/>
        </w:rPr>
      </w:pPr>
      <w:r>
        <w:rPr>
          <w:rFonts w:ascii="黑体" w:hAnsi="黑体" w:eastAsia="黑体" w:cs="黑体"/>
          <w:spacing w:val="-2"/>
        </w:rPr>
        <w:t>重点工作事项标题</w:t>
      </w:r>
    </w:p>
    <w:p w14:paraId="1273AF81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50" w:line="560" w:lineRule="exact"/>
        <w:ind w:left="16" w:firstLine="681"/>
        <w:jc w:val="both"/>
        <w:textAlignment w:val="baseline"/>
        <w:rPr>
          <w:rFonts w:hint="eastAsia" w:ascii="仿宋" w:hAnsi="仿宋" w:eastAsia="方正仿宋_GBK" w:cs="仿宋"/>
          <w:snapToGrid w:val="0"/>
          <w:color w:val="000000"/>
          <w:spacing w:val="-4"/>
          <w:kern w:val="0"/>
          <w:sz w:val="32"/>
          <w:szCs w:val="32"/>
          <w:lang w:val="en-US" w:eastAsia="en-US" w:bidi="ar-SA"/>
        </w:rPr>
      </w:pPr>
      <w:r>
        <w:rPr>
          <w:rFonts w:hint="default" w:eastAsia="方正仿宋_GBK"/>
          <w:spacing w:val="-14"/>
          <w:sz w:val="32"/>
        </w:rPr>
        <w:t>1</w:t>
      </w:r>
      <w:r>
        <w:rPr>
          <w:rFonts w:hint="eastAsia" w:ascii="仿宋" w:hAnsi="仿宋" w:eastAsia="方正仿宋_GBK" w:cs="仿宋"/>
          <w:snapToGrid w:val="0"/>
          <w:color w:val="000000"/>
          <w:spacing w:val="-4"/>
          <w:kern w:val="0"/>
          <w:sz w:val="32"/>
          <w:szCs w:val="32"/>
          <w:lang w:val="en-US" w:eastAsia="en-US" w:bidi="ar-SA"/>
        </w:rPr>
        <w:t>、强化管理走出标准步伐。</w:t>
      </w:r>
      <w:r>
        <w:rPr>
          <w:rFonts w:hint="default" w:ascii="仿宋" w:hAnsi="仿宋" w:eastAsia="方正仿宋_GBK" w:cs="仿宋"/>
          <w:snapToGrid w:val="0"/>
          <w:color w:val="000000"/>
          <w:spacing w:val="-4"/>
          <w:kern w:val="0"/>
          <w:sz w:val="32"/>
          <w:szCs w:val="32"/>
          <w:lang w:val="en-US" w:eastAsia="en-US" w:bidi="ar-SA"/>
        </w:rPr>
        <w:t>大队积极适应新形势下队伍建设要求，以条令纲要为准绳，以“两严两准”为抓手，精准提升队伍正规化建设水平。一是规范管理秩序。大队党委每月进行队伍管理教育形势分析，及时查摆整改管理教育工作存在的问题。扎实开展条令纲要学习月、队伍管理教育专项整治等活动，严格按照“两严两准”要求抓一日生活制度落实，着力加强双休日、节假日、“八小时以外”和“人、车、酒、网、贷、赌”等重点环节把控，持续规范“四个秩序”。二是紧盯安全管理。持续推进安全“九无”三年创建，抓实安全教育、安全分析和安全检查，完善安全基础设施，常态化开展涉赌涉贷、涉黄涉舆、涉酒问题、训战安全等专项排查整治。三是加大督查力度。大队主官落实日常检查督导工作，大队坚持对各队站值班值守、执勤备战、日常管理、制度执行等工作进行现场督导检查，对督查发现的问题进行曝光督促整改，确保了队伍“四个秩序”井然有序。四是加强专职队员管理。建立完善政府专职消防员“招、管、训、用、保”科学管理机制，常态开展入职、任职、晋级和骨干“四类培训”，20余名专职骨干走上基层管理岗位。</w:t>
      </w:r>
    </w:p>
    <w:p w14:paraId="5D981485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50" w:line="560" w:lineRule="exact"/>
        <w:ind w:left="16" w:firstLine="681"/>
        <w:jc w:val="both"/>
        <w:textAlignment w:val="baseline"/>
        <w:rPr>
          <w:rFonts w:hint="eastAsia" w:ascii="仿宋" w:hAnsi="仿宋" w:eastAsia="方正仿宋_GBK" w:cs="仿宋"/>
          <w:snapToGrid w:val="0"/>
          <w:color w:val="000000"/>
          <w:spacing w:val="-4"/>
          <w:kern w:val="0"/>
          <w:sz w:val="32"/>
          <w:szCs w:val="32"/>
          <w:lang w:val="en-US" w:eastAsia="en-US" w:bidi="ar-SA"/>
        </w:rPr>
      </w:pPr>
      <w:r>
        <w:rPr>
          <w:rFonts w:hint="default" w:ascii="仿宋" w:hAnsi="仿宋" w:eastAsia="方正仿宋_GBK" w:cs="仿宋"/>
          <w:snapToGrid w:val="0"/>
          <w:color w:val="000000"/>
          <w:spacing w:val="-4"/>
          <w:kern w:val="0"/>
          <w:sz w:val="32"/>
          <w:szCs w:val="32"/>
          <w:lang w:val="en-US" w:eastAsia="en-US" w:bidi="ar-SA"/>
        </w:rPr>
        <w:t>2、防范风险净化消防环境。大队着力解决人民群众关切消防安全问题，致力净化全区消防安全环境，确保全区消防安全形势稳定。一是推进消防责任落实。提请区委常委会、政府常务会（办公会）每月听取消防工作报告、形成党政领导带队检查督导消防工作常态机制。牢牢抓住纪委督办、平安考核、年度消防工作考核等“牛鼻子”和约谈警示、督办交办、问责处理等“指挥棒”，实体化运行区消防安全委员会工作平台，撬动各方落实消防安全责任。二是开展消防隐患综合治理。结合消防安全专项整治三年行动和消防安全大检查各项重点任务，以党的二十大消防安保任务为主线，紧盯高层建筑、商业综合体、自建房、老旧小区、文物建筑、工业物流园区等重点部位和重大火灾隐患、危化品、城镇燃气等重点领域，开展综合治理，严密排查消防安全隐患。三是打牢群防群治基础。充分发动街道、公安派出所、消防网格员和消防志愿者等多种形式基层消防力量，强化警消联防联勤，加强消防安全网格管理，建成140个社区微型消防站，落实联训联勤联调机制，筑牢社会面火灾防控基础。四是丰富宣传培训形式。加强消防宣传固定阵地建设，深化消防宣传“五进”工作。全面落实市支队优化消防执法营商环境“十一项措施”，持续开展“党员干部下基层察民情解民忧暖民心”实践活动，推行消防政务服务网上办理，及时处理人民群众关心的消防问题，办理“市民热线”反映问题。</w:t>
      </w:r>
    </w:p>
    <w:p w14:paraId="04A2B396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50" w:line="560" w:lineRule="exact"/>
        <w:ind w:left="16" w:firstLine="681"/>
        <w:jc w:val="both"/>
        <w:textAlignment w:val="baseline"/>
        <w:rPr>
          <w:rFonts w:hint="eastAsia" w:ascii="仿宋" w:hAnsi="仿宋" w:eastAsia="方正仿宋_GBK" w:cs="仿宋"/>
          <w:snapToGrid w:val="0"/>
          <w:color w:val="000000"/>
          <w:spacing w:val="-4"/>
          <w:kern w:val="0"/>
          <w:sz w:val="32"/>
          <w:szCs w:val="32"/>
          <w:lang w:val="en-US" w:eastAsia="en-US" w:bidi="ar-SA"/>
        </w:rPr>
      </w:pPr>
      <w:r>
        <w:rPr>
          <w:rFonts w:hint="default" w:ascii="仿宋" w:hAnsi="仿宋" w:eastAsia="方正仿宋_GBK" w:cs="仿宋"/>
          <w:snapToGrid w:val="0"/>
          <w:color w:val="000000"/>
          <w:spacing w:val="-4"/>
          <w:kern w:val="0"/>
          <w:sz w:val="32"/>
          <w:szCs w:val="32"/>
          <w:lang w:val="en-US" w:eastAsia="en-US" w:bidi="ar-SA"/>
        </w:rPr>
        <w:t>3、立足实战锤炼过硬本领。立足实战锤炼过硬本领。大队把提质强能作为队伍重点任务，对标“全灾种、大应急”的建队目标，加强岗位练兵，推动应急救援体系建设，提升灭火救援能力。一是严抓岗位练兵。坚持落实党委“议训”，制定队伍年度业务训练计划和相应的奖惩措施，实行每月一小考、每季度一大考，全面了解掌握训练成果。在支队组织的尖兵比武对抗赛、高层建筑灭火救人操、地下灭火救人操等比武竞赛中，大队所属各消防救援站成绩排名靠前。二是优化作战模式。坚持按纲施训和按需训练相结合，紧盯作战薄弱环节，持续夯实灭火救援基础工作，修订完善典型事故灾害和辖区典型灾害事故类型预案，持续优化队伍编成，强化车辆装备配置，不断提升队伍处置火灾的能力。三是注重人才培养。在培养专业人才和建立专业队伍上做文章，选派人员参加地震、水域、无人机、医疗救护等各类专业培训，不仅提高个人的素质，也提升了队伍整体灭火救援实战能力。四是完善联动机制。实施联勤联训联调模式，经常性开展实战演练、随时拉动和技能比武。加强与公安、应急、城管、建设、医疗、供水、供电、供气等部门和有资质的社会救援力量的协作，推动建立应急响应统筹协调机制。</w:t>
      </w:r>
    </w:p>
    <w:p w14:paraId="257563AA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50" w:line="560" w:lineRule="exact"/>
        <w:ind w:left="16" w:firstLine="681"/>
        <w:jc w:val="both"/>
        <w:textAlignment w:val="baseline"/>
        <w:rPr>
          <w:rFonts w:hint="default" w:ascii="仿宋" w:hAnsi="仿宋" w:eastAsia="方正仿宋_GBK" w:cs="仿宋"/>
          <w:snapToGrid w:val="0"/>
          <w:color w:val="000000"/>
          <w:spacing w:val="-4"/>
          <w:kern w:val="0"/>
          <w:sz w:val="32"/>
          <w:szCs w:val="32"/>
          <w:lang w:val="en-US" w:eastAsia="en-US" w:bidi="ar-SA"/>
        </w:rPr>
      </w:pPr>
      <w:r>
        <w:rPr>
          <w:rFonts w:hint="default" w:ascii="仿宋" w:hAnsi="仿宋" w:eastAsia="方正仿宋_GBK" w:cs="仿宋"/>
          <w:snapToGrid w:val="0"/>
          <w:color w:val="000000"/>
          <w:spacing w:val="-4"/>
          <w:kern w:val="0"/>
          <w:sz w:val="32"/>
          <w:szCs w:val="32"/>
          <w:lang w:val="en-US" w:eastAsia="en-US" w:bidi="ar-SA"/>
        </w:rPr>
        <w:t>4、争取支持确保保障到位。推动队站建设。目前塔子湖消防站正在施工中，力争年底</w:t>
      </w:r>
      <w:r>
        <w:rPr>
          <w:rFonts w:hint="eastAsia" w:eastAsia="方正仿宋_GBK" w:cs="仿宋"/>
          <w:snapToGrid w:val="0"/>
          <w:color w:val="000000"/>
          <w:spacing w:val="-4"/>
          <w:kern w:val="0"/>
          <w:sz w:val="32"/>
          <w:szCs w:val="32"/>
          <w:lang w:val="en-US" w:eastAsia="zh-CN" w:bidi="ar-SA"/>
        </w:rPr>
        <w:t>完成主体建设</w:t>
      </w:r>
      <w:r>
        <w:rPr>
          <w:rFonts w:hint="default" w:ascii="仿宋" w:hAnsi="仿宋" w:eastAsia="方正仿宋_GBK" w:cs="仿宋"/>
          <w:snapToGrid w:val="0"/>
          <w:color w:val="000000"/>
          <w:spacing w:val="-4"/>
          <w:kern w:val="0"/>
          <w:sz w:val="32"/>
          <w:szCs w:val="32"/>
          <w:lang w:val="en-US" w:eastAsia="en-US" w:bidi="ar-SA"/>
        </w:rPr>
        <w:t>；长湖地消防站当前也正在按照责任目标推进各项手续的办理中。</w:t>
      </w:r>
    </w:p>
    <w:p w14:paraId="3D97D057">
      <w:pPr>
        <w:rPr>
          <w:rFonts w:hint="default" w:ascii="仿宋" w:hAnsi="仿宋" w:eastAsia="方正仿宋_GBK" w:cs="仿宋"/>
          <w:snapToGrid w:val="0"/>
          <w:color w:val="000000"/>
          <w:spacing w:val="-4"/>
          <w:kern w:val="0"/>
          <w:sz w:val="32"/>
          <w:szCs w:val="32"/>
          <w:lang w:val="en-US" w:eastAsia="en-US" w:bidi="ar-SA"/>
        </w:rPr>
      </w:pPr>
      <w:r>
        <w:rPr>
          <w:rFonts w:hint="default" w:ascii="仿宋" w:hAnsi="仿宋" w:eastAsia="方正仿宋_GBK" w:cs="仿宋"/>
          <w:snapToGrid w:val="0"/>
          <w:color w:val="000000"/>
          <w:spacing w:val="-4"/>
          <w:kern w:val="0"/>
          <w:sz w:val="32"/>
          <w:szCs w:val="32"/>
          <w:lang w:val="en-US" w:eastAsia="en-US" w:bidi="ar-SA"/>
        </w:rPr>
        <w:br w:type="page"/>
      </w:r>
    </w:p>
    <w:p w14:paraId="42FA8F9A">
      <w:pPr>
        <w:spacing w:before="143" w:line="222" w:lineRule="auto"/>
        <w:ind w:left="2447"/>
        <w:jc w:val="both"/>
        <w:outlineLvl w:val="3"/>
        <w:rPr>
          <w:rFonts w:ascii="黑体" w:hAnsi="黑体" w:eastAsia="黑体" w:cs="黑体"/>
          <w:sz w:val="44"/>
          <w:szCs w:val="44"/>
        </w:rPr>
      </w:pPr>
      <w:r>
        <w:rPr>
          <w:rFonts w:ascii="黑体" w:hAnsi="黑体" w:eastAsia="黑体" w:cs="黑体"/>
          <w:spacing w:val="-2"/>
          <w:sz w:val="44"/>
          <w:szCs w:val="44"/>
        </w:rPr>
        <w:t>第五部分名词解释</w:t>
      </w:r>
    </w:p>
    <w:p w14:paraId="12CB6275">
      <w:pPr>
        <w:spacing w:line="398" w:lineRule="auto"/>
        <w:jc w:val="both"/>
        <w:rPr>
          <w:rFonts w:ascii="Arial"/>
          <w:sz w:val="21"/>
        </w:rPr>
      </w:pPr>
    </w:p>
    <w:p w14:paraId="310C56A1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right="290" w:firstLine="656" w:firstLineChars="200"/>
        <w:jc w:val="both"/>
        <w:textAlignment w:val="baseline"/>
        <w:rPr>
          <w:rFonts w:hint="eastAsia" w:ascii="方正仿宋_GBK" w:hAnsi="方正仿宋_GBK" w:eastAsia="方正仿宋_GBK" w:cs="方正仿宋_GBK"/>
        </w:rPr>
      </w:pPr>
      <w:r>
        <w:rPr>
          <w:rFonts w:hint="eastAsia" w:ascii="方正仿宋_GBK" w:hAnsi="方正仿宋_GBK" w:eastAsia="方正仿宋_GBK" w:cs="方正仿宋_GBK"/>
          <w:spacing w:val="4"/>
          <w:lang w:eastAsia="zh-CN"/>
        </w:rPr>
        <w:t>（</w:t>
      </w:r>
      <w:r>
        <w:rPr>
          <w:rFonts w:hint="eastAsia" w:ascii="方正仿宋_GBK" w:hAnsi="方正仿宋_GBK" w:eastAsia="方正仿宋_GBK" w:cs="方正仿宋_GBK"/>
          <w:spacing w:val="4"/>
          <w:lang w:val="en-US" w:eastAsia="zh-CN"/>
        </w:rPr>
        <w:t>一</w:t>
      </w:r>
      <w:r>
        <w:rPr>
          <w:rFonts w:hint="eastAsia" w:ascii="方正仿宋_GBK" w:hAnsi="方正仿宋_GBK" w:eastAsia="方正仿宋_GBK" w:cs="方正仿宋_GBK"/>
          <w:spacing w:val="4"/>
          <w:lang w:eastAsia="zh-CN"/>
        </w:rPr>
        <w:t>）</w:t>
      </w:r>
      <w:r>
        <w:rPr>
          <w:rFonts w:hint="eastAsia" w:ascii="方正仿宋_GBK" w:hAnsi="方正仿宋_GBK" w:eastAsia="方正仿宋_GBK" w:cs="方正仿宋_GBK"/>
          <w:spacing w:val="4"/>
        </w:rPr>
        <w:t>一般公共预算财政拨款收入：指</w:t>
      </w:r>
      <w:r>
        <w:rPr>
          <w:rFonts w:hint="eastAsia" w:ascii="方正仿宋_GBK" w:hAnsi="方正仿宋_GBK" w:eastAsia="方正仿宋_GBK" w:cs="方正仿宋_GBK"/>
          <w:spacing w:val="4"/>
          <w:lang w:val="en-US" w:eastAsia="zh-CN"/>
        </w:rPr>
        <w:t>区</w:t>
      </w:r>
      <w:r>
        <w:rPr>
          <w:rFonts w:hint="eastAsia" w:ascii="方正仿宋_GBK" w:hAnsi="方正仿宋_GBK" w:eastAsia="方正仿宋_GBK" w:cs="方正仿宋_GBK"/>
          <w:spacing w:val="4"/>
        </w:rPr>
        <w:t>级财政一般公共预</w:t>
      </w:r>
      <w:r>
        <w:rPr>
          <w:rFonts w:hint="eastAsia" w:ascii="方正仿宋_GBK" w:hAnsi="方正仿宋_GBK" w:eastAsia="方正仿宋_GBK" w:cs="方正仿宋_GBK"/>
          <w:spacing w:val="-1"/>
        </w:rPr>
        <w:t>算当年拨付的资金。</w:t>
      </w:r>
    </w:p>
    <w:p w14:paraId="29F4081C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right="274" w:firstLine="656" w:firstLineChars="200"/>
        <w:jc w:val="both"/>
        <w:textAlignment w:val="baseline"/>
        <w:rPr>
          <w:rFonts w:hint="eastAsia" w:ascii="方正仿宋_GBK" w:hAnsi="方正仿宋_GBK" w:eastAsia="方正仿宋_GBK" w:cs="方正仿宋_GBK"/>
        </w:rPr>
      </w:pPr>
      <w:r>
        <w:rPr>
          <w:rFonts w:hint="eastAsia" w:ascii="方正仿宋_GBK" w:hAnsi="方正仿宋_GBK" w:eastAsia="方正仿宋_GBK" w:cs="方正仿宋_GBK"/>
          <w:spacing w:val="4"/>
          <w:lang w:eastAsia="zh-CN"/>
        </w:rPr>
        <w:t>（</w:t>
      </w:r>
      <w:r>
        <w:rPr>
          <w:rFonts w:hint="eastAsia" w:ascii="方正仿宋_GBK" w:hAnsi="方正仿宋_GBK" w:eastAsia="方正仿宋_GBK" w:cs="方正仿宋_GBK"/>
          <w:spacing w:val="4"/>
          <w:lang w:val="en-US" w:eastAsia="zh-CN"/>
        </w:rPr>
        <w:t>二</w:t>
      </w:r>
      <w:r>
        <w:rPr>
          <w:rFonts w:hint="eastAsia" w:ascii="方正仿宋_GBK" w:hAnsi="方正仿宋_GBK" w:eastAsia="方正仿宋_GBK" w:cs="方正仿宋_GBK"/>
          <w:spacing w:val="4"/>
          <w:lang w:eastAsia="zh-CN"/>
        </w:rPr>
        <w:t>）政</w:t>
      </w:r>
      <w:r>
        <w:rPr>
          <w:rFonts w:hint="eastAsia" w:ascii="方正仿宋_GBK" w:hAnsi="方正仿宋_GBK" w:eastAsia="方正仿宋_GBK" w:cs="方正仿宋_GBK"/>
          <w:spacing w:val="-7"/>
        </w:rPr>
        <w:t>府性基金预算财政拨款收入：指</w:t>
      </w:r>
      <w:r>
        <w:rPr>
          <w:rFonts w:hint="eastAsia" w:ascii="方正仿宋_GBK" w:hAnsi="方正仿宋_GBK" w:eastAsia="方正仿宋_GBK" w:cs="方正仿宋_GBK"/>
          <w:spacing w:val="4"/>
          <w:lang w:val="en-US" w:eastAsia="zh-CN"/>
        </w:rPr>
        <w:t>区</w:t>
      </w:r>
      <w:r>
        <w:rPr>
          <w:rFonts w:hint="eastAsia" w:ascii="方正仿宋_GBK" w:hAnsi="方正仿宋_GBK" w:eastAsia="方正仿宋_GBK" w:cs="方正仿宋_GBK"/>
          <w:spacing w:val="4"/>
        </w:rPr>
        <w:t>级</w:t>
      </w:r>
      <w:r>
        <w:rPr>
          <w:rFonts w:hint="eastAsia" w:ascii="方正仿宋_GBK" w:hAnsi="方正仿宋_GBK" w:eastAsia="方正仿宋_GBK" w:cs="方正仿宋_GBK"/>
          <w:spacing w:val="-7"/>
        </w:rPr>
        <w:t>财政政</w:t>
      </w:r>
      <w:r>
        <w:rPr>
          <w:rFonts w:hint="eastAsia" w:ascii="方正仿宋_GBK" w:hAnsi="方正仿宋_GBK" w:eastAsia="方正仿宋_GBK" w:cs="方正仿宋_GBK"/>
          <w:spacing w:val="-8"/>
        </w:rPr>
        <w:t>府性基金</w:t>
      </w:r>
      <w:r>
        <w:rPr>
          <w:rFonts w:hint="eastAsia" w:ascii="方正仿宋_GBK" w:hAnsi="方正仿宋_GBK" w:eastAsia="方正仿宋_GBK" w:cs="方正仿宋_GBK"/>
          <w:spacing w:val="-1"/>
        </w:rPr>
        <w:t>预算当年拨付的资金。</w:t>
      </w:r>
    </w:p>
    <w:p w14:paraId="45EBBCE0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right="279" w:firstLine="608" w:firstLineChars="200"/>
        <w:jc w:val="both"/>
        <w:textAlignment w:val="baseline"/>
        <w:rPr>
          <w:rFonts w:hint="eastAsia" w:ascii="方正仿宋_GBK" w:hAnsi="方正仿宋_GBK" w:eastAsia="方正仿宋_GBK" w:cs="方正仿宋_GBK"/>
        </w:rPr>
      </w:pPr>
      <w:r>
        <w:rPr>
          <w:rFonts w:hint="eastAsia" w:ascii="方正仿宋_GBK" w:hAnsi="方正仿宋_GBK" w:eastAsia="方正仿宋_GBK" w:cs="方正仿宋_GBK"/>
          <w:spacing w:val="-8"/>
          <w:lang w:eastAsia="zh-CN"/>
        </w:rPr>
        <w:t>（</w:t>
      </w:r>
      <w:r>
        <w:rPr>
          <w:rFonts w:hint="eastAsia" w:ascii="方正仿宋_GBK" w:hAnsi="方正仿宋_GBK" w:eastAsia="方正仿宋_GBK" w:cs="方正仿宋_GBK"/>
          <w:spacing w:val="-8"/>
          <w:lang w:val="en-US" w:eastAsia="zh-CN"/>
        </w:rPr>
        <w:t>三</w:t>
      </w:r>
      <w:r>
        <w:rPr>
          <w:rFonts w:hint="eastAsia" w:ascii="方正仿宋_GBK" w:hAnsi="方正仿宋_GBK" w:eastAsia="方正仿宋_GBK" w:cs="方正仿宋_GBK"/>
          <w:spacing w:val="-8"/>
          <w:lang w:eastAsia="zh-CN"/>
        </w:rPr>
        <w:t>）</w:t>
      </w:r>
      <w:r>
        <w:rPr>
          <w:rFonts w:hint="eastAsia" w:ascii="方正仿宋_GBK" w:hAnsi="方正仿宋_GBK" w:eastAsia="方正仿宋_GBK" w:cs="方正仿宋_GBK"/>
          <w:spacing w:val="-8"/>
        </w:rPr>
        <w:t>国有资本经营预算财政拨款收入：指</w:t>
      </w:r>
      <w:r>
        <w:rPr>
          <w:rFonts w:hint="eastAsia" w:ascii="方正仿宋_GBK" w:hAnsi="方正仿宋_GBK" w:eastAsia="方正仿宋_GBK" w:cs="方正仿宋_GBK"/>
          <w:spacing w:val="4"/>
          <w:lang w:val="en-US" w:eastAsia="zh-CN"/>
        </w:rPr>
        <w:t>区</w:t>
      </w:r>
      <w:r>
        <w:rPr>
          <w:rFonts w:hint="eastAsia" w:ascii="方正仿宋_GBK" w:hAnsi="方正仿宋_GBK" w:eastAsia="方正仿宋_GBK" w:cs="方正仿宋_GBK"/>
          <w:spacing w:val="4"/>
        </w:rPr>
        <w:t>级</w:t>
      </w:r>
      <w:r>
        <w:rPr>
          <w:rFonts w:hint="eastAsia" w:ascii="方正仿宋_GBK" w:hAnsi="方正仿宋_GBK" w:eastAsia="方正仿宋_GBK" w:cs="方正仿宋_GBK"/>
          <w:spacing w:val="-8"/>
        </w:rPr>
        <w:t>财政国有资本</w:t>
      </w:r>
      <w:r>
        <w:rPr>
          <w:rFonts w:hint="eastAsia" w:ascii="方正仿宋_GBK" w:hAnsi="方正仿宋_GBK" w:eastAsia="方正仿宋_GBK" w:cs="方正仿宋_GBK"/>
          <w:spacing w:val="-2"/>
        </w:rPr>
        <w:t>经营预算当年拨付的资金。</w:t>
      </w:r>
    </w:p>
    <w:p w14:paraId="008A5DD0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right="274" w:firstLine="612" w:firstLineChars="200"/>
        <w:jc w:val="both"/>
        <w:textAlignment w:val="baseline"/>
        <w:rPr>
          <w:rFonts w:hint="eastAsia" w:ascii="方正仿宋_GBK" w:hAnsi="方正仿宋_GBK" w:eastAsia="方正仿宋_GBK" w:cs="方正仿宋_GBK"/>
        </w:rPr>
      </w:pPr>
      <w:r>
        <w:rPr>
          <w:rFonts w:hint="eastAsia" w:ascii="方正仿宋_GBK" w:hAnsi="方正仿宋_GBK" w:eastAsia="方正仿宋_GBK" w:cs="方正仿宋_GBK"/>
          <w:spacing w:val="-7"/>
          <w:lang w:eastAsia="zh-CN"/>
        </w:rPr>
        <w:t>（</w:t>
      </w:r>
      <w:r>
        <w:rPr>
          <w:rFonts w:hint="eastAsia" w:ascii="方正仿宋_GBK" w:hAnsi="方正仿宋_GBK" w:eastAsia="方正仿宋_GBK" w:cs="方正仿宋_GBK"/>
          <w:spacing w:val="-7"/>
          <w:lang w:val="en-US" w:eastAsia="zh-CN"/>
        </w:rPr>
        <w:t>四</w:t>
      </w:r>
      <w:r>
        <w:rPr>
          <w:rFonts w:hint="eastAsia" w:ascii="方正仿宋_GBK" w:hAnsi="方正仿宋_GBK" w:eastAsia="方正仿宋_GBK" w:cs="方正仿宋_GBK"/>
          <w:spacing w:val="-7"/>
          <w:lang w:eastAsia="zh-CN"/>
        </w:rPr>
        <w:t>）</w:t>
      </w:r>
      <w:r>
        <w:rPr>
          <w:rFonts w:hint="eastAsia" w:ascii="方正仿宋_GBK" w:hAnsi="方正仿宋_GBK" w:eastAsia="方正仿宋_GBK" w:cs="方正仿宋_GBK"/>
          <w:spacing w:val="-7"/>
        </w:rPr>
        <w:t>上级补助收入：指从事业单位主管部门和上级</w:t>
      </w:r>
      <w:r>
        <w:rPr>
          <w:rFonts w:hint="eastAsia" w:ascii="方正仿宋_GBK" w:hAnsi="方正仿宋_GBK" w:eastAsia="方正仿宋_GBK" w:cs="方正仿宋_GBK"/>
          <w:spacing w:val="-8"/>
        </w:rPr>
        <w:t>单位取得</w:t>
      </w:r>
      <w:r>
        <w:rPr>
          <w:rFonts w:hint="eastAsia" w:ascii="方正仿宋_GBK" w:hAnsi="方正仿宋_GBK" w:eastAsia="方正仿宋_GBK" w:cs="方正仿宋_GBK"/>
          <w:spacing w:val="-5"/>
        </w:rPr>
        <w:t>的非财政补助收入。</w:t>
      </w:r>
    </w:p>
    <w:p w14:paraId="62A82040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right="269" w:firstLine="612" w:firstLineChars="200"/>
        <w:jc w:val="both"/>
        <w:textAlignment w:val="baseline"/>
        <w:rPr>
          <w:rFonts w:hint="eastAsia" w:ascii="方正仿宋_GBK" w:hAnsi="方正仿宋_GBK" w:eastAsia="方正仿宋_GBK" w:cs="方正仿宋_GBK"/>
        </w:rPr>
      </w:pPr>
      <w:r>
        <w:rPr>
          <w:rFonts w:hint="eastAsia" w:ascii="方正仿宋_GBK" w:hAnsi="方正仿宋_GBK" w:eastAsia="方正仿宋_GBK" w:cs="方正仿宋_GBK"/>
          <w:spacing w:val="-7"/>
          <w:lang w:eastAsia="zh-CN"/>
        </w:rPr>
        <w:t>（</w:t>
      </w:r>
      <w:r>
        <w:rPr>
          <w:rFonts w:hint="eastAsia" w:ascii="方正仿宋_GBK" w:hAnsi="方正仿宋_GBK" w:eastAsia="方正仿宋_GBK" w:cs="方正仿宋_GBK"/>
          <w:spacing w:val="-7"/>
          <w:lang w:val="en-US" w:eastAsia="zh-CN"/>
        </w:rPr>
        <w:t>五</w:t>
      </w:r>
      <w:r>
        <w:rPr>
          <w:rFonts w:hint="eastAsia" w:ascii="方正仿宋_GBK" w:hAnsi="方正仿宋_GBK" w:eastAsia="方正仿宋_GBK" w:cs="方正仿宋_GBK"/>
          <w:spacing w:val="-7"/>
          <w:lang w:eastAsia="zh-CN"/>
        </w:rPr>
        <w:t>）</w:t>
      </w:r>
      <w:r>
        <w:rPr>
          <w:rFonts w:hint="eastAsia" w:ascii="方正仿宋_GBK" w:hAnsi="方正仿宋_GBK" w:eastAsia="方正仿宋_GBK" w:cs="方正仿宋_GBK"/>
          <w:spacing w:val="-7"/>
        </w:rPr>
        <w:t>事业收入：指事业单位开展专业业务活动及其辅助活动</w:t>
      </w:r>
      <w:r>
        <w:rPr>
          <w:rFonts w:hint="eastAsia" w:ascii="方正仿宋_GBK" w:hAnsi="方正仿宋_GBK" w:eastAsia="方正仿宋_GBK" w:cs="方正仿宋_GBK"/>
          <w:spacing w:val="-3"/>
        </w:rPr>
        <w:t>取得的收入。</w:t>
      </w:r>
    </w:p>
    <w:p w14:paraId="0EE1D2F7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right="269" w:firstLine="612" w:firstLineChars="200"/>
        <w:jc w:val="both"/>
        <w:textAlignment w:val="baseline"/>
        <w:rPr>
          <w:rFonts w:hint="eastAsia" w:ascii="方正仿宋_GBK" w:hAnsi="方正仿宋_GBK" w:eastAsia="方正仿宋_GBK" w:cs="方正仿宋_GBK"/>
          <w:spacing w:val="-2"/>
        </w:rPr>
      </w:pPr>
      <w:r>
        <w:rPr>
          <w:rFonts w:hint="eastAsia" w:ascii="方正仿宋_GBK" w:hAnsi="方正仿宋_GBK" w:eastAsia="方正仿宋_GBK" w:cs="方正仿宋_GBK"/>
          <w:spacing w:val="-7"/>
          <w:lang w:eastAsia="zh-CN"/>
        </w:rPr>
        <w:t>（</w:t>
      </w:r>
      <w:r>
        <w:rPr>
          <w:rFonts w:hint="eastAsia" w:ascii="方正仿宋_GBK" w:hAnsi="方正仿宋_GBK" w:eastAsia="方正仿宋_GBK" w:cs="方正仿宋_GBK"/>
          <w:spacing w:val="-7"/>
          <w:lang w:val="en-US" w:eastAsia="zh-CN"/>
        </w:rPr>
        <w:t>六</w:t>
      </w:r>
      <w:r>
        <w:rPr>
          <w:rFonts w:hint="eastAsia" w:ascii="方正仿宋_GBK" w:hAnsi="方正仿宋_GBK" w:eastAsia="方正仿宋_GBK" w:cs="方正仿宋_GBK"/>
          <w:spacing w:val="-7"/>
          <w:lang w:eastAsia="zh-CN"/>
        </w:rPr>
        <w:t>）</w:t>
      </w:r>
      <w:r>
        <w:rPr>
          <w:rFonts w:hint="eastAsia" w:ascii="方正仿宋_GBK" w:hAnsi="方正仿宋_GBK" w:eastAsia="方正仿宋_GBK" w:cs="方正仿宋_GBK"/>
          <w:spacing w:val="-7"/>
        </w:rPr>
        <w:t>经营收入：指事业单位在专业业务活动及其辅助活动之</w:t>
      </w:r>
      <w:r>
        <w:rPr>
          <w:rFonts w:hint="eastAsia" w:ascii="方正仿宋_GBK" w:hAnsi="方正仿宋_GBK" w:eastAsia="方正仿宋_GBK" w:cs="方正仿宋_GBK"/>
          <w:spacing w:val="-2"/>
        </w:rPr>
        <w:t>外开展非独立核算经营活动取得的收入。</w:t>
      </w:r>
    </w:p>
    <w:p w14:paraId="4F92CDC6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right="269" w:firstLine="608" w:firstLineChars="200"/>
        <w:jc w:val="both"/>
        <w:textAlignment w:val="baseline"/>
        <w:rPr>
          <w:rFonts w:hint="eastAsia" w:ascii="方正仿宋_GBK" w:hAnsi="方正仿宋_GBK" w:eastAsia="方正仿宋_GBK" w:cs="方正仿宋_GBK"/>
        </w:rPr>
      </w:pPr>
      <w:r>
        <w:rPr>
          <w:rFonts w:hint="eastAsia" w:ascii="方正仿宋_GBK" w:hAnsi="方正仿宋_GBK" w:eastAsia="方正仿宋_GBK" w:cs="方正仿宋_GBK"/>
          <w:spacing w:val="-8"/>
          <w:lang w:eastAsia="zh-CN"/>
        </w:rPr>
        <w:t>（</w:t>
      </w:r>
      <w:r>
        <w:rPr>
          <w:rFonts w:hint="eastAsia" w:ascii="方正仿宋_GBK" w:hAnsi="方正仿宋_GBK" w:eastAsia="方正仿宋_GBK" w:cs="方正仿宋_GBK"/>
          <w:spacing w:val="-8"/>
          <w:lang w:val="en-US" w:eastAsia="zh-CN"/>
        </w:rPr>
        <w:t>七</w:t>
      </w:r>
      <w:r>
        <w:rPr>
          <w:rFonts w:hint="eastAsia" w:ascii="方正仿宋_GBK" w:hAnsi="方正仿宋_GBK" w:eastAsia="方正仿宋_GBK" w:cs="方正仿宋_GBK"/>
          <w:spacing w:val="-8"/>
          <w:lang w:eastAsia="zh-CN"/>
        </w:rPr>
        <w:t>）</w:t>
      </w:r>
      <w:r>
        <w:rPr>
          <w:rFonts w:hint="eastAsia" w:ascii="方正仿宋_GBK" w:hAnsi="方正仿宋_GBK" w:eastAsia="方正仿宋_GBK" w:cs="方正仿宋_GBK"/>
          <w:spacing w:val="-8"/>
        </w:rPr>
        <w:t>其他收入：指单位取得的除上述“一般公共预算财政拨</w:t>
      </w:r>
      <w:r>
        <w:rPr>
          <w:rFonts w:hint="eastAsia" w:ascii="方正仿宋_GBK" w:hAnsi="方正仿宋_GBK" w:eastAsia="方正仿宋_GBK" w:cs="方正仿宋_GBK"/>
          <w:spacing w:val="-16"/>
        </w:rPr>
        <w:t>款收入”、“政府性基金预算财政拨款收入”、“国有资本经营预</w:t>
      </w:r>
      <w:r>
        <w:rPr>
          <w:rFonts w:hint="eastAsia" w:ascii="方正仿宋_GBK" w:hAnsi="方正仿宋_GBK" w:eastAsia="方正仿宋_GBK" w:cs="方正仿宋_GBK"/>
          <w:spacing w:val="-26"/>
        </w:rPr>
        <w:t>算财政拨款收入”、“上级补助收入”、“事业收入”、</w:t>
      </w:r>
      <w:r>
        <w:rPr>
          <w:rFonts w:hint="eastAsia" w:ascii="方正仿宋_GBK" w:hAnsi="方正仿宋_GBK" w:eastAsia="方正仿宋_GBK" w:cs="方正仿宋_GBK"/>
          <w:spacing w:val="-27"/>
        </w:rPr>
        <w:t>“经营收入”</w:t>
      </w:r>
      <w:r>
        <w:rPr>
          <w:rFonts w:hint="eastAsia" w:ascii="方正仿宋_GBK" w:hAnsi="方正仿宋_GBK" w:eastAsia="方正仿宋_GBK" w:cs="方正仿宋_GBK"/>
          <w:spacing w:val="-1"/>
        </w:rPr>
        <w:t>等收入以外的各项收入。(该项名词解释中“上述…等收入”请依据部门收入的实际情况进行解释)</w:t>
      </w:r>
    </w:p>
    <w:p w14:paraId="67D69B1E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firstLine="612" w:firstLineChars="200"/>
        <w:jc w:val="both"/>
        <w:textAlignment w:val="baseline"/>
        <w:rPr>
          <w:rFonts w:hint="eastAsia" w:ascii="方正仿宋_GBK" w:hAnsi="方正仿宋_GBK" w:eastAsia="方正仿宋_GBK" w:cs="方正仿宋_GBK"/>
        </w:rPr>
      </w:pPr>
      <w:r>
        <w:rPr>
          <w:rFonts w:hint="eastAsia" w:ascii="方正仿宋_GBK" w:hAnsi="方正仿宋_GBK" w:eastAsia="方正仿宋_GBK" w:cs="方正仿宋_GBK"/>
          <w:spacing w:val="-7"/>
          <w:lang w:eastAsia="zh-CN"/>
        </w:rPr>
        <w:t>（</w:t>
      </w:r>
      <w:r>
        <w:rPr>
          <w:rFonts w:hint="eastAsia" w:ascii="方正仿宋_GBK" w:hAnsi="方正仿宋_GBK" w:eastAsia="方正仿宋_GBK" w:cs="方正仿宋_GBK"/>
          <w:spacing w:val="-7"/>
          <w:lang w:val="en-US" w:eastAsia="zh-CN"/>
        </w:rPr>
        <w:t>八</w:t>
      </w:r>
      <w:r>
        <w:rPr>
          <w:rFonts w:hint="eastAsia" w:ascii="方正仿宋_GBK" w:hAnsi="方正仿宋_GBK" w:eastAsia="方正仿宋_GBK" w:cs="方正仿宋_GBK"/>
          <w:spacing w:val="-7"/>
          <w:lang w:eastAsia="zh-CN"/>
        </w:rPr>
        <w:t>）</w:t>
      </w:r>
      <w:r>
        <w:rPr>
          <w:rFonts w:hint="eastAsia" w:ascii="方正仿宋_GBK" w:hAnsi="方正仿宋_GBK" w:eastAsia="方正仿宋_GBK" w:cs="方正仿宋_GBK"/>
          <w:spacing w:val="-7"/>
        </w:rPr>
        <w:t>使用非财政拨款结余(含专用结余)：指事业单位按预算</w:t>
      </w:r>
      <w:r>
        <w:rPr>
          <w:rFonts w:hint="eastAsia" w:ascii="方正仿宋_GBK" w:hAnsi="方正仿宋_GBK" w:eastAsia="方正仿宋_GBK" w:cs="方正仿宋_GBK"/>
          <w:spacing w:val="6"/>
        </w:rPr>
        <w:t>管理要求使用非财政拨款结余(含专用结余)弥补收支差额的金</w:t>
      </w:r>
      <w:r>
        <w:rPr>
          <w:rFonts w:hint="eastAsia" w:ascii="方正仿宋_GBK" w:hAnsi="方正仿宋_GBK" w:eastAsia="方正仿宋_GBK" w:cs="方正仿宋_GBK"/>
          <w:spacing w:val="-10"/>
        </w:rPr>
        <w:t>额。</w:t>
      </w:r>
    </w:p>
    <w:p w14:paraId="1A296556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right="274" w:firstLine="612" w:firstLineChars="200"/>
        <w:jc w:val="both"/>
        <w:textAlignment w:val="baseline"/>
        <w:rPr>
          <w:rFonts w:hint="eastAsia" w:ascii="方正仿宋_GBK" w:hAnsi="方正仿宋_GBK" w:eastAsia="方正仿宋_GBK" w:cs="方正仿宋_GBK"/>
        </w:rPr>
      </w:pPr>
      <w:r>
        <w:rPr>
          <w:rFonts w:hint="eastAsia" w:ascii="方正仿宋_GBK" w:hAnsi="方正仿宋_GBK" w:eastAsia="方正仿宋_GBK" w:cs="方正仿宋_GBK"/>
          <w:spacing w:val="-7"/>
          <w:lang w:eastAsia="zh-CN"/>
        </w:rPr>
        <w:t>（</w:t>
      </w:r>
      <w:r>
        <w:rPr>
          <w:rFonts w:hint="eastAsia" w:ascii="方正仿宋_GBK" w:hAnsi="方正仿宋_GBK" w:eastAsia="方正仿宋_GBK" w:cs="方正仿宋_GBK"/>
          <w:spacing w:val="-7"/>
          <w:lang w:val="en-US" w:eastAsia="zh-CN"/>
        </w:rPr>
        <w:t>九</w:t>
      </w:r>
      <w:r>
        <w:rPr>
          <w:rFonts w:hint="eastAsia" w:ascii="方正仿宋_GBK" w:hAnsi="方正仿宋_GBK" w:eastAsia="方正仿宋_GBK" w:cs="方正仿宋_GBK"/>
          <w:spacing w:val="-7"/>
          <w:lang w:eastAsia="zh-CN"/>
        </w:rPr>
        <w:t>）</w:t>
      </w:r>
      <w:r>
        <w:rPr>
          <w:rFonts w:hint="eastAsia" w:ascii="方正仿宋_GBK" w:hAnsi="方正仿宋_GBK" w:eastAsia="方正仿宋_GBK" w:cs="方正仿宋_GBK"/>
          <w:spacing w:val="-7"/>
        </w:rPr>
        <w:t>年初结转和结余：指单位以前年度尚未完成、</w:t>
      </w:r>
      <w:r>
        <w:rPr>
          <w:rFonts w:hint="eastAsia" w:ascii="方正仿宋_GBK" w:hAnsi="方正仿宋_GBK" w:eastAsia="方正仿宋_GBK" w:cs="方正仿宋_GBK"/>
          <w:spacing w:val="-8"/>
        </w:rPr>
        <w:t>结转到本</w:t>
      </w:r>
      <w:r>
        <w:rPr>
          <w:rFonts w:hint="eastAsia" w:ascii="方正仿宋_GBK" w:hAnsi="方正仿宋_GBK" w:eastAsia="方正仿宋_GBK" w:cs="方正仿宋_GBK"/>
          <w:spacing w:val="-5"/>
        </w:rPr>
        <w:t>年仍按原规定用途继续使用的资金，或项目已完成等产生的结余资金。</w:t>
      </w:r>
    </w:p>
    <w:p w14:paraId="62911CAB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firstLine="624" w:firstLineChars="200"/>
        <w:jc w:val="both"/>
        <w:textAlignment w:val="baseline"/>
        <w:rPr>
          <w:rFonts w:hint="eastAsia" w:ascii="方正仿宋_GBK" w:hAnsi="方正仿宋_GBK" w:eastAsia="方正仿宋_GBK" w:cs="方正仿宋_GBK"/>
        </w:rPr>
      </w:pPr>
      <w:r>
        <w:rPr>
          <w:rFonts w:hint="eastAsia" w:ascii="方正仿宋_GBK" w:hAnsi="方正仿宋_GBK" w:eastAsia="方正仿宋_GBK" w:cs="方正仿宋_GBK"/>
          <w:spacing w:val="-4"/>
          <w:lang w:eastAsia="zh-CN"/>
        </w:rPr>
        <w:t>（</w:t>
      </w:r>
      <w:r>
        <w:rPr>
          <w:rFonts w:hint="eastAsia" w:ascii="方正仿宋_GBK" w:hAnsi="方正仿宋_GBK" w:eastAsia="方正仿宋_GBK" w:cs="方正仿宋_GBK"/>
          <w:spacing w:val="-4"/>
          <w:lang w:val="en-US" w:eastAsia="zh-CN"/>
        </w:rPr>
        <w:t>十</w:t>
      </w:r>
      <w:r>
        <w:rPr>
          <w:rFonts w:hint="eastAsia" w:ascii="方正仿宋_GBK" w:hAnsi="方正仿宋_GBK" w:eastAsia="方正仿宋_GBK" w:cs="方正仿宋_GBK"/>
          <w:spacing w:val="-4"/>
          <w:lang w:eastAsia="zh-CN"/>
        </w:rPr>
        <w:t>）</w:t>
      </w:r>
      <w:r>
        <w:rPr>
          <w:rFonts w:hint="eastAsia" w:ascii="方正仿宋_GBK" w:hAnsi="方正仿宋_GBK" w:eastAsia="方正仿宋_GBK" w:cs="方正仿宋_GBK"/>
          <w:spacing w:val="-4"/>
        </w:rPr>
        <w:t>本部门使用的支出功能分类科目(到项级)</w:t>
      </w:r>
    </w:p>
    <w:p w14:paraId="7C1D091F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right="0" w:firstLine="632" w:firstLineChars="200"/>
        <w:jc w:val="both"/>
        <w:textAlignment w:val="baseline"/>
        <w:rPr>
          <w:rFonts w:hint="eastAsia" w:ascii="方正仿宋_GBK" w:hAnsi="方正仿宋_GBK" w:eastAsia="方正仿宋_GBK" w:cs="方正仿宋_GBK"/>
          <w:spacing w:val="-5"/>
        </w:rPr>
      </w:pPr>
      <w:r>
        <w:rPr>
          <w:rFonts w:hint="eastAsia" w:ascii="方正仿宋_GBK" w:hAnsi="方正仿宋_GBK" w:eastAsia="方正仿宋_GBK" w:cs="方正仿宋_GBK"/>
          <w:spacing w:val="-2"/>
          <w:lang w:val="en-US" w:eastAsia="zh-CN"/>
        </w:rPr>
        <w:t>1.</w:t>
      </w:r>
      <w:r>
        <w:rPr>
          <w:rFonts w:hint="eastAsia" w:ascii="方正仿宋_GBK" w:hAnsi="方正仿宋_GBK" w:eastAsia="方正仿宋_GBK" w:cs="方正仿宋_GBK"/>
          <w:spacing w:val="-2"/>
        </w:rPr>
        <w:t>一</w:t>
      </w:r>
      <w:r>
        <w:rPr>
          <w:rFonts w:hint="eastAsia" w:ascii="方正仿宋_GBK" w:hAnsi="方正仿宋_GBK" w:eastAsia="方正仿宋_GBK" w:cs="方正仿宋_GBK"/>
          <w:spacing w:val="-5"/>
        </w:rPr>
        <w:t>般公共服务(类)财政事务(款)行政运行(项)</w:t>
      </w:r>
    </w:p>
    <w:p w14:paraId="3030A9B4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right="274" w:firstLine="612" w:firstLineChars="200"/>
        <w:jc w:val="both"/>
        <w:textAlignment w:val="baseline"/>
        <w:rPr>
          <w:rFonts w:hint="eastAsia" w:ascii="方正仿宋_GBK" w:hAnsi="方正仿宋_GBK" w:eastAsia="方正仿宋_GBK" w:cs="方正仿宋_GBK"/>
        </w:rPr>
      </w:pPr>
      <w:r>
        <w:rPr>
          <w:rFonts w:hint="eastAsia" w:ascii="方正仿宋_GBK" w:hAnsi="方正仿宋_GBK" w:eastAsia="方正仿宋_GBK" w:cs="方正仿宋_GBK"/>
          <w:spacing w:val="-7"/>
          <w:lang w:eastAsia="zh-CN"/>
        </w:rPr>
        <w:t>（</w:t>
      </w:r>
      <w:r>
        <w:rPr>
          <w:rFonts w:hint="eastAsia" w:ascii="方正仿宋_GBK" w:hAnsi="方正仿宋_GBK" w:eastAsia="方正仿宋_GBK" w:cs="方正仿宋_GBK"/>
          <w:spacing w:val="-7"/>
          <w:lang w:val="en-US" w:eastAsia="zh-CN"/>
        </w:rPr>
        <w:t>十一</w:t>
      </w:r>
      <w:r>
        <w:rPr>
          <w:rFonts w:hint="eastAsia" w:ascii="方正仿宋_GBK" w:hAnsi="方正仿宋_GBK" w:eastAsia="方正仿宋_GBK" w:cs="方正仿宋_GBK"/>
          <w:spacing w:val="-7"/>
          <w:lang w:eastAsia="zh-CN"/>
        </w:rPr>
        <w:t>）</w:t>
      </w:r>
      <w:r>
        <w:rPr>
          <w:rFonts w:hint="eastAsia" w:ascii="方正仿宋_GBK" w:hAnsi="方正仿宋_GBK" w:eastAsia="方正仿宋_GBK" w:cs="方正仿宋_GBK"/>
          <w:spacing w:val="-7"/>
        </w:rPr>
        <w:t>结余分配：指单位按照会计制度规定缴纳企</w:t>
      </w:r>
      <w:r>
        <w:rPr>
          <w:rFonts w:hint="eastAsia" w:ascii="方正仿宋_GBK" w:hAnsi="方正仿宋_GBK" w:eastAsia="方正仿宋_GBK" w:cs="方正仿宋_GBK"/>
          <w:spacing w:val="-8"/>
        </w:rPr>
        <w:t>业所得税</w:t>
      </w:r>
      <w:r>
        <w:rPr>
          <w:rFonts w:hint="eastAsia" w:ascii="方正仿宋_GBK" w:hAnsi="方正仿宋_GBK" w:eastAsia="方正仿宋_GBK" w:cs="方正仿宋_GBK"/>
          <w:spacing w:val="-2"/>
        </w:rPr>
        <w:t>以及从非财政拨款结余或经营结余中提取各类结余的情况。</w:t>
      </w:r>
    </w:p>
    <w:p w14:paraId="1A3FC69A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right="274" w:firstLine="612" w:firstLineChars="200"/>
        <w:jc w:val="both"/>
        <w:textAlignment w:val="baseline"/>
        <w:rPr>
          <w:rFonts w:hint="eastAsia" w:ascii="方正仿宋_GBK" w:hAnsi="方正仿宋_GBK" w:eastAsia="方正仿宋_GBK" w:cs="方正仿宋_GBK"/>
        </w:rPr>
      </w:pPr>
      <w:r>
        <w:rPr>
          <w:rFonts w:hint="eastAsia" w:ascii="方正仿宋_GBK" w:hAnsi="方正仿宋_GBK" w:eastAsia="方正仿宋_GBK" w:cs="方正仿宋_GBK"/>
          <w:spacing w:val="-7"/>
          <w:lang w:eastAsia="zh-CN"/>
        </w:rPr>
        <w:t>（</w:t>
      </w:r>
      <w:r>
        <w:rPr>
          <w:rFonts w:hint="eastAsia" w:ascii="方正仿宋_GBK" w:hAnsi="方正仿宋_GBK" w:eastAsia="方正仿宋_GBK" w:cs="方正仿宋_GBK"/>
          <w:spacing w:val="-7"/>
          <w:lang w:val="en-US" w:eastAsia="zh-CN"/>
        </w:rPr>
        <w:t>十二</w:t>
      </w:r>
      <w:r>
        <w:rPr>
          <w:rFonts w:hint="eastAsia" w:ascii="方正仿宋_GBK" w:hAnsi="方正仿宋_GBK" w:eastAsia="方正仿宋_GBK" w:cs="方正仿宋_GBK"/>
          <w:spacing w:val="-7"/>
          <w:lang w:eastAsia="zh-CN"/>
        </w:rPr>
        <w:t>）</w:t>
      </w:r>
      <w:r>
        <w:rPr>
          <w:rFonts w:hint="eastAsia" w:ascii="方正仿宋_GBK" w:hAnsi="方正仿宋_GBK" w:eastAsia="方正仿宋_GBK" w:cs="方正仿宋_GBK"/>
          <w:spacing w:val="-7"/>
        </w:rPr>
        <w:t>年末结转和结余：指单位按有关规定结转到</w:t>
      </w:r>
      <w:r>
        <w:rPr>
          <w:rFonts w:hint="eastAsia" w:ascii="方正仿宋_GBK" w:hAnsi="方正仿宋_GBK" w:eastAsia="方正仿宋_GBK" w:cs="方正仿宋_GBK"/>
          <w:spacing w:val="-8"/>
        </w:rPr>
        <w:t>下年或以</w:t>
      </w:r>
      <w:r>
        <w:rPr>
          <w:rFonts w:hint="eastAsia" w:ascii="方正仿宋_GBK" w:hAnsi="方正仿宋_GBK" w:eastAsia="方正仿宋_GBK" w:cs="方正仿宋_GBK"/>
          <w:spacing w:val="-1"/>
        </w:rPr>
        <w:t>后年度继续使用的资金，或项目已完成等产生的结余资金。</w:t>
      </w:r>
    </w:p>
    <w:p w14:paraId="43418710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right="274" w:firstLine="612" w:firstLineChars="200"/>
        <w:jc w:val="both"/>
        <w:textAlignment w:val="baseline"/>
        <w:rPr>
          <w:rFonts w:hint="eastAsia" w:ascii="方正仿宋_GBK" w:hAnsi="方正仿宋_GBK" w:eastAsia="方正仿宋_GBK" w:cs="方正仿宋_GBK"/>
        </w:rPr>
      </w:pPr>
      <w:r>
        <w:rPr>
          <w:rFonts w:hint="eastAsia" w:ascii="方正仿宋_GBK" w:hAnsi="方正仿宋_GBK" w:eastAsia="方正仿宋_GBK" w:cs="方正仿宋_GBK"/>
          <w:spacing w:val="-7"/>
          <w:lang w:eastAsia="zh-CN"/>
        </w:rPr>
        <w:t>（</w:t>
      </w:r>
      <w:r>
        <w:rPr>
          <w:rFonts w:hint="eastAsia" w:ascii="方正仿宋_GBK" w:hAnsi="方正仿宋_GBK" w:eastAsia="方正仿宋_GBK" w:cs="方正仿宋_GBK"/>
          <w:spacing w:val="-7"/>
          <w:lang w:val="en-US" w:eastAsia="zh-CN"/>
        </w:rPr>
        <w:t>十三</w:t>
      </w:r>
      <w:r>
        <w:rPr>
          <w:rFonts w:hint="eastAsia" w:ascii="方正仿宋_GBK" w:hAnsi="方正仿宋_GBK" w:eastAsia="方正仿宋_GBK" w:cs="方正仿宋_GBK"/>
          <w:spacing w:val="-7"/>
          <w:lang w:eastAsia="zh-CN"/>
        </w:rPr>
        <w:t>）</w:t>
      </w:r>
      <w:r>
        <w:rPr>
          <w:rFonts w:hint="eastAsia" w:ascii="方正仿宋_GBK" w:hAnsi="方正仿宋_GBK" w:eastAsia="方正仿宋_GBK" w:cs="方正仿宋_GBK"/>
          <w:spacing w:val="-7"/>
        </w:rPr>
        <w:t>基本支出：指为保障机构正常运转、完成日</w:t>
      </w:r>
      <w:r>
        <w:rPr>
          <w:rFonts w:hint="eastAsia" w:ascii="方正仿宋_GBK" w:hAnsi="方正仿宋_GBK" w:eastAsia="方正仿宋_GBK" w:cs="方正仿宋_GBK"/>
          <w:spacing w:val="-8"/>
        </w:rPr>
        <w:t>常工作任</w:t>
      </w:r>
      <w:r>
        <w:rPr>
          <w:rFonts w:hint="eastAsia" w:ascii="方正仿宋_GBK" w:hAnsi="方正仿宋_GBK" w:eastAsia="方正仿宋_GBK" w:cs="方正仿宋_GBK"/>
          <w:spacing w:val="-1"/>
        </w:rPr>
        <w:t>务而发生的人员支出和公用支出。</w:t>
      </w:r>
    </w:p>
    <w:p w14:paraId="428B84E9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right="274" w:firstLine="612" w:firstLineChars="200"/>
        <w:jc w:val="both"/>
        <w:textAlignment w:val="baseline"/>
        <w:rPr>
          <w:rFonts w:hint="eastAsia" w:ascii="方正仿宋_GBK" w:hAnsi="方正仿宋_GBK" w:eastAsia="方正仿宋_GBK" w:cs="方正仿宋_GBK"/>
        </w:rPr>
      </w:pPr>
      <w:r>
        <w:rPr>
          <w:rFonts w:hint="eastAsia" w:ascii="方正仿宋_GBK" w:hAnsi="方正仿宋_GBK" w:eastAsia="方正仿宋_GBK" w:cs="方正仿宋_GBK"/>
          <w:spacing w:val="-7"/>
          <w:lang w:eastAsia="zh-CN"/>
        </w:rPr>
        <w:t>（</w:t>
      </w:r>
      <w:r>
        <w:rPr>
          <w:rFonts w:hint="eastAsia" w:ascii="方正仿宋_GBK" w:hAnsi="方正仿宋_GBK" w:eastAsia="方正仿宋_GBK" w:cs="方正仿宋_GBK"/>
          <w:spacing w:val="-7"/>
          <w:lang w:val="en-US" w:eastAsia="zh-CN"/>
        </w:rPr>
        <w:t>十四</w:t>
      </w:r>
      <w:r>
        <w:rPr>
          <w:rFonts w:hint="eastAsia" w:ascii="方正仿宋_GBK" w:hAnsi="方正仿宋_GBK" w:eastAsia="方正仿宋_GBK" w:cs="方正仿宋_GBK"/>
          <w:spacing w:val="-7"/>
          <w:lang w:eastAsia="zh-CN"/>
        </w:rPr>
        <w:t>）</w:t>
      </w:r>
      <w:r>
        <w:rPr>
          <w:rFonts w:hint="eastAsia" w:ascii="方正仿宋_GBK" w:hAnsi="方正仿宋_GBK" w:eastAsia="方正仿宋_GBK" w:cs="方正仿宋_GBK"/>
          <w:spacing w:val="-7"/>
        </w:rPr>
        <w:t>项目支出：指在基本支出之外为完成特定行</w:t>
      </w:r>
      <w:r>
        <w:rPr>
          <w:rFonts w:hint="eastAsia" w:ascii="方正仿宋_GBK" w:hAnsi="方正仿宋_GBK" w:eastAsia="方正仿宋_GBK" w:cs="方正仿宋_GBK"/>
          <w:spacing w:val="-8"/>
        </w:rPr>
        <w:t>政任务或</w:t>
      </w:r>
      <w:r>
        <w:rPr>
          <w:rFonts w:hint="eastAsia" w:ascii="方正仿宋_GBK" w:hAnsi="方正仿宋_GBK" w:eastAsia="方正仿宋_GBK" w:cs="方正仿宋_GBK"/>
          <w:spacing w:val="-2"/>
        </w:rPr>
        <w:t>事业发展目标所发生的支出。</w:t>
      </w:r>
    </w:p>
    <w:p w14:paraId="197AAF50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right="274" w:firstLine="612" w:firstLineChars="200"/>
        <w:jc w:val="both"/>
        <w:textAlignment w:val="baseline"/>
        <w:rPr>
          <w:rFonts w:hint="eastAsia" w:ascii="方正仿宋_GBK" w:hAnsi="方正仿宋_GBK" w:eastAsia="方正仿宋_GBK" w:cs="方正仿宋_GBK"/>
        </w:rPr>
      </w:pPr>
      <w:r>
        <w:rPr>
          <w:rFonts w:hint="eastAsia" w:ascii="方正仿宋_GBK" w:hAnsi="方正仿宋_GBK" w:eastAsia="方正仿宋_GBK" w:cs="方正仿宋_GBK"/>
          <w:spacing w:val="-7"/>
          <w:lang w:eastAsia="zh-CN"/>
        </w:rPr>
        <w:t>（</w:t>
      </w:r>
      <w:r>
        <w:rPr>
          <w:rFonts w:hint="eastAsia" w:ascii="方正仿宋_GBK" w:hAnsi="方正仿宋_GBK" w:eastAsia="方正仿宋_GBK" w:cs="方正仿宋_GBK"/>
          <w:spacing w:val="-7"/>
          <w:lang w:val="en-US" w:eastAsia="zh-CN"/>
        </w:rPr>
        <w:t>十五</w:t>
      </w:r>
      <w:r>
        <w:rPr>
          <w:rFonts w:hint="eastAsia" w:ascii="方正仿宋_GBK" w:hAnsi="方正仿宋_GBK" w:eastAsia="方正仿宋_GBK" w:cs="方正仿宋_GBK"/>
          <w:spacing w:val="-7"/>
          <w:lang w:eastAsia="zh-CN"/>
        </w:rPr>
        <w:t>）</w:t>
      </w:r>
      <w:r>
        <w:rPr>
          <w:rFonts w:hint="eastAsia" w:ascii="方正仿宋_GBK" w:hAnsi="方正仿宋_GBK" w:eastAsia="方正仿宋_GBK" w:cs="方正仿宋_GBK"/>
          <w:spacing w:val="-7"/>
        </w:rPr>
        <w:t>经营支出：指事业单位在专业活动及辅助活</w:t>
      </w:r>
      <w:r>
        <w:rPr>
          <w:rFonts w:hint="eastAsia" w:ascii="方正仿宋_GBK" w:hAnsi="方正仿宋_GBK" w:eastAsia="方正仿宋_GBK" w:cs="方正仿宋_GBK"/>
          <w:spacing w:val="-8"/>
        </w:rPr>
        <w:t>动之外开</w:t>
      </w:r>
      <w:r>
        <w:rPr>
          <w:rFonts w:hint="eastAsia" w:ascii="方正仿宋_GBK" w:hAnsi="方正仿宋_GBK" w:eastAsia="方正仿宋_GBK" w:cs="方正仿宋_GBK"/>
          <w:spacing w:val="-1"/>
        </w:rPr>
        <w:t>展非独立核算经营活动发生的支出。</w:t>
      </w:r>
    </w:p>
    <w:p w14:paraId="5DF6914E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right="86" w:firstLine="628" w:firstLineChars="200"/>
        <w:jc w:val="both"/>
        <w:textAlignment w:val="baseline"/>
        <w:rPr>
          <w:rFonts w:hint="eastAsia" w:ascii="方正仿宋_GBK" w:hAnsi="方正仿宋_GBK" w:eastAsia="方正仿宋_GBK" w:cs="方正仿宋_GBK"/>
        </w:rPr>
      </w:pPr>
      <w:r>
        <w:rPr>
          <w:rFonts w:hint="eastAsia" w:ascii="方正仿宋_GBK" w:hAnsi="方正仿宋_GBK" w:eastAsia="方正仿宋_GBK" w:cs="方正仿宋_GBK"/>
          <w:spacing w:val="-3"/>
          <w:lang w:eastAsia="zh-CN"/>
        </w:rPr>
        <w:t>（</w:t>
      </w:r>
      <w:r>
        <w:rPr>
          <w:rFonts w:hint="eastAsia" w:ascii="方正仿宋_GBK" w:hAnsi="方正仿宋_GBK" w:eastAsia="方正仿宋_GBK" w:cs="方正仿宋_GBK"/>
          <w:spacing w:val="-3"/>
          <w:lang w:val="en-US" w:eastAsia="zh-CN"/>
        </w:rPr>
        <w:t>十六</w:t>
      </w:r>
      <w:r>
        <w:rPr>
          <w:rFonts w:hint="eastAsia" w:ascii="方正仿宋_GBK" w:hAnsi="方正仿宋_GBK" w:eastAsia="方正仿宋_GBK" w:cs="方正仿宋_GBK"/>
          <w:spacing w:val="-3"/>
          <w:lang w:eastAsia="zh-CN"/>
        </w:rPr>
        <w:t>）</w:t>
      </w:r>
      <w:r>
        <w:rPr>
          <w:rFonts w:hint="eastAsia" w:ascii="方正仿宋_GBK" w:hAnsi="方正仿宋_GBK" w:eastAsia="方正仿宋_GBK" w:cs="方正仿宋_GBK"/>
          <w:spacing w:val="-5"/>
          <w:lang w:eastAsia="zh-CN"/>
        </w:rPr>
        <w:t>“</w:t>
      </w:r>
      <w:r>
        <w:rPr>
          <w:rFonts w:hint="eastAsia" w:ascii="方正仿宋_GBK" w:hAnsi="方正仿宋_GBK" w:eastAsia="方正仿宋_GBK" w:cs="方正仿宋_GBK"/>
          <w:spacing w:val="-3"/>
        </w:rPr>
        <w:t>三</w:t>
      </w:r>
      <w:r>
        <w:rPr>
          <w:rFonts w:hint="eastAsia" w:ascii="方正仿宋_GBK" w:hAnsi="方正仿宋_GBK" w:eastAsia="方正仿宋_GBK" w:cs="方正仿宋_GBK"/>
          <w:spacing w:val="-3"/>
          <w:lang w:val="en-US" w:eastAsia="zh-CN"/>
        </w:rPr>
        <w:t>公</w:t>
      </w:r>
      <w:r>
        <w:rPr>
          <w:rFonts w:hint="eastAsia" w:ascii="方正仿宋_GBK" w:hAnsi="方正仿宋_GBK" w:eastAsia="方正仿宋_GBK" w:cs="方正仿宋_GBK"/>
          <w:spacing w:val="-5"/>
          <w:lang w:eastAsia="zh-CN"/>
        </w:rPr>
        <w:t>”</w:t>
      </w:r>
      <w:r>
        <w:rPr>
          <w:rFonts w:hint="eastAsia" w:ascii="方正仿宋_GBK" w:hAnsi="方正仿宋_GBK" w:eastAsia="方正仿宋_GBK" w:cs="方正仿宋_GBK"/>
          <w:spacing w:val="-3"/>
        </w:rPr>
        <w:t>经费：纳入</w:t>
      </w:r>
      <w:r>
        <w:rPr>
          <w:rFonts w:hint="eastAsia" w:ascii="方正仿宋_GBK" w:hAnsi="方正仿宋_GBK" w:eastAsia="方正仿宋_GBK" w:cs="方正仿宋_GBK"/>
          <w:spacing w:val="4"/>
          <w:lang w:val="en-US" w:eastAsia="zh-CN"/>
        </w:rPr>
        <w:t>区</w:t>
      </w:r>
      <w:r>
        <w:rPr>
          <w:rFonts w:hint="eastAsia" w:ascii="方正仿宋_GBK" w:hAnsi="方正仿宋_GBK" w:eastAsia="方正仿宋_GBK" w:cs="方正仿宋_GBK"/>
          <w:spacing w:val="4"/>
        </w:rPr>
        <w:t>级</w:t>
      </w:r>
      <w:r>
        <w:rPr>
          <w:rFonts w:hint="eastAsia" w:ascii="方正仿宋_GBK" w:hAnsi="方正仿宋_GBK" w:eastAsia="方正仿宋_GBK" w:cs="方正仿宋_GBK"/>
          <w:spacing w:val="-3"/>
        </w:rPr>
        <w:t>财政预决算管理的</w:t>
      </w:r>
      <w:r>
        <w:rPr>
          <w:rFonts w:hint="eastAsia" w:ascii="方正仿宋_GBK" w:hAnsi="方正仿宋_GBK" w:eastAsia="方正仿宋_GBK" w:cs="方正仿宋_GBK"/>
          <w:spacing w:val="-5"/>
          <w:lang w:eastAsia="zh-CN"/>
        </w:rPr>
        <w:t>“</w:t>
      </w:r>
      <w:r>
        <w:rPr>
          <w:rFonts w:hint="eastAsia" w:ascii="方正仿宋_GBK" w:hAnsi="方正仿宋_GBK" w:eastAsia="方正仿宋_GBK" w:cs="方正仿宋_GBK"/>
          <w:spacing w:val="-3"/>
        </w:rPr>
        <w:t>三</w:t>
      </w:r>
      <w:r>
        <w:rPr>
          <w:rFonts w:hint="eastAsia" w:ascii="方正仿宋_GBK" w:hAnsi="方正仿宋_GBK" w:eastAsia="方正仿宋_GBK" w:cs="方正仿宋_GBK"/>
          <w:spacing w:val="-3"/>
          <w:lang w:val="en-US" w:eastAsia="zh-CN"/>
        </w:rPr>
        <w:t>公</w:t>
      </w:r>
      <w:r>
        <w:rPr>
          <w:rFonts w:hint="eastAsia" w:ascii="方正仿宋_GBK" w:hAnsi="方正仿宋_GBK" w:eastAsia="方正仿宋_GBK" w:cs="方正仿宋_GBK"/>
          <w:spacing w:val="-5"/>
          <w:lang w:eastAsia="zh-CN"/>
        </w:rPr>
        <w:t>”</w:t>
      </w:r>
      <w:r>
        <w:rPr>
          <w:rFonts w:hint="eastAsia" w:ascii="方正仿宋_GBK" w:hAnsi="方正仿宋_GBK" w:eastAsia="方正仿宋_GBK" w:cs="方正仿宋_GBK"/>
          <w:spacing w:val="-5"/>
        </w:rPr>
        <w:t>经费，是指部门用财政拨款安排的因公出国(境)费、公务用</w:t>
      </w:r>
      <w:r>
        <w:rPr>
          <w:rFonts w:hint="eastAsia" w:ascii="方正仿宋_GBK" w:hAnsi="方正仿宋_GBK" w:eastAsia="方正仿宋_GBK" w:cs="方正仿宋_GBK"/>
          <w:spacing w:val="-8"/>
        </w:rPr>
        <w:t>车购置及运行维护费和公务接待费。其中，因公出国(境)费反映</w:t>
      </w:r>
      <w:r>
        <w:rPr>
          <w:rFonts w:hint="eastAsia" w:ascii="方正仿宋_GBK" w:hAnsi="方正仿宋_GBK" w:eastAsia="方正仿宋_GBK" w:cs="方正仿宋_GBK"/>
          <w:spacing w:val="-5"/>
        </w:rPr>
        <w:t>单位公务出国(境)的国际旅费、国外城市间交通费、住宿费、伙食费、培训费、公杂费等支出；公务用车购置及运行维护费反映</w:t>
      </w:r>
      <w:r>
        <w:rPr>
          <w:rFonts w:hint="eastAsia" w:ascii="方正仿宋_GBK" w:hAnsi="方正仿宋_GBK" w:eastAsia="方正仿宋_GBK" w:cs="方正仿宋_GBK"/>
          <w:spacing w:val="-7"/>
        </w:rPr>
        <w:t>单位公务用车购置支出(含车辆购置税、牌照</w:t>
      </w:r>
      <w:r>
        <w:rPr>
          <w:rFonts w:hint="eastAsia" w:ascii="方正仿宋_GBK" w:hAnsi="方正仿宋_GBK" w:eastAsia="方正仿宋_GBK" w:cs="方正仿宋_GBK"/>
          <w:spacing w:val="-8"/>
        </w:rPr>
        <w:t>费)及燃料费、维修</w:t>
      </w:r>
      <w:r>
        <w:rPr>
          <w:rFonts w:hint="eastAsia" w:ascii="方正仿宋_GBK" w:hAnsi="方正仿宋_GBK" w:eastAsia="方正仿宋_GBK" w:cs="方正仿宋_GBK"/>
          <w:spacing w:val="-5"/>
        </w:rPr>
        <w:t>费、过桥过路费、保险费、安全奖励费用等支出；公务接待费反</w:t>
      </w:r>
      <w:r>
        <w:rPr>
          <w:rFonts w:hint="eastAsia" w:ascii="方正仿宋_GBK" w:hAnsi="方正仿宋_GBK" w:eastAsia="方正仿宋_GBK" w:cs="方正仿宋_GBK"/>
          <w:spacing w:val="-1"/>
        </w:rPr>
        <w:t>映单位按规定开支的各类公务接待(含外宾接待)费用。</w:t>
      </w:r>
    </w:p>
    <w:p w14:paraId="23A91F76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firstLine="632" w:firstLineChars="200"/>
        <w:jc w:val="both"/>
        <w:textAlignment w:val="baseline"/>
        <w:rPr>
          <w:rFonts w:hint="eastAsia" w:ascii="方正仿宋_GBK" w:hAnsi="方正仿宋_GBK" w:eastAsia="方正仿宋_GBK" w:cs="方正仿宋_GBK"/>
        </w:rPr>
      </w:pPr>
      <w:r>
        <w:rPr>
          <w:rFonts w:hint="eastAsia" w:ascii="方正仿宋_GBK" w:hAnsi="方正仿宋_GBK" w:eastAsia="方正仿宋_GBK" w:cs="方正仿宋_GBK"/>
          <w:spacing w:val="-2"/>
          <w:lang w:eastAsia="zh-CN"/>
        </w:rPr>
        <w:t>（</w:t>
      </w:r>
      <w:r>
        <w:rPr>
          <w:rFonts w:hint="eastAsia" w:ascii="方正仿宋_GBK" w:hAnsi="方正仿宋_GBK" w:eastAsia="方正仿宋_GBK" w:cs="方正仿宋_GBK"/>
          <w:spacing w:val="-2"/>
          <w:lang w:val="en-US" w:eastAsia="zh-CN"/>
        </w:rPr>
        <w:t>十七</w:t>
      </w:r>
      <w:r>
        <w:rPr>
          <w:rFonts w:hint="eastAsia" w:ascii="方正仿宋_GBK" w:hAnsi="方正仿宋_GBK" w:eastAsia="方正仿宋_GBK" w:cs="方正仿宋_GBK"/>
          <w:spacing w:val="-2"/>
          <w:lang w:eastAsia="zh-CN"/>
        </w:rPr>
        <w:t>）</w:t>
      </w:r>
      <w:r>
        <w:rPr>
          <w:rFonts w:hint="eastAsia" w:ascii="方正仿宋_GBK" w:hAnsi="方正仿宋_GBK" w:eastAsia="方正仿宋_GBK" w:cs="方正仿宋_GBK"/>
          <w:spacing w:val="-2"/>
        </w:rPr>
        <w:t>机关运行经费：指为保障行政单位(包括参照公务员</w:t>
      </w:r>
      <w:r>
        <w:rPr>
          <w:rFonts w:hint="eastAsia" w:ascii="方正仿宋_GBK" w:hAnsi="方正仿宋_GBK" w:eastAsia="方正仿宋_GBK" w:cs="方正仿宋_GBK"/>
          <w:spacing w:val="1"/>
        </w:rPr>
        <w:t>法管理的事业单位)运行用于购买货物和服务的各项资金，</w:t>
      </w:r>
      <w:r>
        <w:rPr>
          <w:rFonts w:hint="eastAsia" w:ascii="方正仿宋_GBK" w:hAnsi="方正仿宋_GBK" w:eastAsia="方正仿宋_GBK" w:cs="方正仿宋_GBK"/>
        </w:rPr>
        <w:t>包括</w:t>
      </w:r>
      <w:r>
        <w:rPr>
          <w:rFonts w:hint="eastAsia" w:ascii="方正仿宋_GBK" w:hAnsi="方正仿宋_GBK" w:eastAsia="方正仿宋_GBK" w:cs="方正仿宋_GBK"/>
          <w:spacing w:val="-5"/>
        </w:rPr>
        <w:t>办公费、印刷费、邮电费、差旅费、会议费、福利费、日常维修费、专用材料及一般设备购置费、办公用房水电费、办公用房取</w:t>
      </w:r>
      <w:r>
        <w:rPr>
          <w:rFonts w:hint="eastAsia" w:ascii="方正仿宋_GBK" w:hAnsi="方正仿宋_GBK" w:eastAsia="方正仿宋_GBK" w:cs="方正仿宋_GBK"/>
          <w:spacing w:val="-13"/>
        </w:rPr>
        <w:t>暖费、办公用房物业管理费、公务用车运行维护费以及其他费用。</w:t>
      </w:r>
    </w:p>
    <w:p w14:paraId="190D3583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firstLine="608" w:firstLineChars="200"/>
        <w:jc w:val="both"/>
        <w:textAlignment w:val="baseline"/>
        <w:rPr>
          <w:rFonts w:hint="eastAsia" w:ascii="方正仿宋_GBK" w:hAnsi="方正仿宋_GBK" w:eastAsia="方正仿宋_GBK" w:cs="方正仿宋_GBK"/>
        </w:rPr>
      </w:pPr>
      <w:r>
        <w:rPr>
          <w:rFonts w:hint="eastAsia" w:ascii="方正仿宋_GBK" w:hAnsi="方正仿宋_GBK" w:eastAsia="方正仿宋_GBK" w:cs="方正仿宋_GBK"/>
          <w:spacing w:val="-8"/>
          <w:lang w:eastAsia="zh-CN"/>
        </w:rPr>
        <w:t>（</w:t>
      </w:r>
      <w:r>
        <w:rPr>
          <w:rFonts w:hint="eastAsia" w:ascii="方正仿宋_GBK" w:hAnsi="方正仿宋_GBK" w:eastAsia="方正仿宋_GBK" w:cs="方正仿宋_GBK"/>
          <w:spacing w:val="-8"/>
          <w:lang w:val="en-US" w:eastAsia="zh-CN"/>
        </w:rPr>
        <w:t>十八</w:t>
      </w:r>
      <w:r>
        <w:rPr>
          <w:rFonts w:hint="eastAsia" w:ascii="方正仿宋_GBK" w:hAnsi="方正仿宋_GBK" w:eastAsia="方正仿宋_GBK" w:cs="方正仿宋_GBK"/>
          <w:spacing w:val="-8"/>
          <w:lang w:eastAsia="zh-CN"/>
        </w:rPr>
        <w:t>）</w:t>
      </w:r>
      <w:r>
        <w:rPr>
          <w:rFonts w:hint="eastAsia" w:ascii="方正仿宋_GBK" w:hAnsi="方正仿宋_GBK" w:eastAsia="方正仿宋_GBK" w:cs="方正仿宋_GBK"/>
          <w:spacing w:val="-8"/>
        </w:rPr>
        <w:t>其他专用名词。</w:t>
      </w:r>
    </w:p>
    <w:p w14:paraId="208BA842">
      <w:pPr>
        <w:spacing w:before="143" w:line="222" w:lineRule="auto"/>
        <w:ind w:left="2643"/>
        <w:jc w:val="both"/>
        <w:outlineLvl w:val="3"/>
        <w:rPr>
          <w:rFonts w:ascii="黑体" w:hAnsi="黑体" w:eastAsia="黑体" w:cs="黑体"/>
          <w:spacing w:val="-6"/>
          <w:sz w:val="44"/>
          <w:szCs w:val="44"/>
        </w:rPr>
        <w:sectPr>
          <w:pgSz w:w="11900" w:h="16840"/>
          <w:pgMar w:top="1431" w:right="1686" w:bottom="1717" w:left="1785" w:header="0" w:footer="1468" w:gutter="0"/>
          <w:cols w:space="720" w:num="1"/>
        </w:sectPr>
      </w:pPr>
    </w:p>
    <w:p w14:paraId="738701C9">
      <w:pPr>
        <w:spacing w:before="143" w:line="222" w:lineRule="auto"/>
        <w:ind w:left="2643"/>
        <w:jc w:val="both"/>
        <w:outlineLvl w:val="3"/>
        <w:rPr>
          <w:rFonts w:ascii="黑体" w:hAnsi="黑体" w:eastAsia="黑体" w:cs="黑体"/>
          <w:sz w:val="44"/>
          <w:szCs w:val="44"/>
        </w:rPr>
      </w:pPr>
      <w:r>
        <w:rPr>
          <w:rFonts w:ascii="黑体" w:hAnsi="黑体" w:eastAsia="黑体" w:cs="黑体"/>
          <w:spacing w:val="-6"/>
          <w:sz w:val="44"/>
          <w:szCs w:val="44"/>
        </w:rPr>
        <w:t>第六部分附件</w:t>
      </w:r>
    </w:p>
    <w:p w14:paraId="56AF9A98">
      <w:pPr>
        <w:spacing w:before="104" w:line="222" w:lineRule="auto"/>
        <w:ind w:left="402"/>
        <w:jc w:val="both"/>
        <w:rPr>
          <w:rFonts w:ascii="黑体" w:hAnsi="黑体" w:eastAsia="黑体" w:cs="黑体"/>
          <w:spacing w:val="-1"/>
          <w:sz w:val="32"/>
          <w:szCs w:val="32"/>
        </w:rPr>
      </w:pPr>
      <w:r>
        <w:rPr>
          <w:rFonts w:ascii="黑体" w:hAnsi="黑体" w:eastAsia="黑体" w:cs="黑体"/>
          <w:spacing w:val="-1"/>
          <w:sz w:val="32"/>
          <w:szCs w:val="32"/>
        </w:rPr>
        <w:t>一、2023年度</w:t>
      </w:r>
      <w:r>
        <w:rPr>
          <w:rFonts w:hint="eastAsia" w:ascii="黑体" w:hAnsi="黑体" w:eastAsia="黑体" w:cs="黑体"/>
          <w:spacing w:val="-1"/>
          <w:sz w:val="32"/>
          <w:szCs w:val="32"/>
          <w:u w:val="single"/>
          <w:lang w:eastAsia="zh-CN"/>
        </w:rPr>
        <w:t>武汉市江岸区消防救援大队</w:t>
      </w:r>
      <w:r>
        <w:rPr>
          <w:rFonts w:ascii="黑体" w:hAnsi="黑体" w:eastAsia="黑体" w:cs="黑体"/>
          <w:spacing w:val="-1"/>
          <w:sz w:val="32"/>
          <w:szCs w:val="32"/>
        </w:rPr>
        <w:t>整体绩效自评表</w:t>
      </w:r>
    </w:p>
    <w:p w14:paraId="09BC9E44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24" w:lineRule="auto"/>
        <w:jc w:val="both"/>
        <w:textAlignment w:val="baseline"/>
        <w:rPr>
          <w:rFonts w:ascii="黑体" w:hAnsi="黑体" w:eastAsia="黑体" w:cs="黑体"/>
          <w:spacing w:val="-1"/>
          <w:sz w:val="32"/>
          <w:szCs w:val="32"/>
        </w:rPr>
      </w:pPr>
      <w:r>
        <w:drawing>
          <wp:inline distT="0" distB="0" distL="114300" distR="114300">
            <wp:extent cx="4575810" cy="7866380"/>
            <wp:effectExtent l="0" t="0" r="15240" b="1270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75810" cy="786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239C7D">
      <w:pPr>
        <w:spacing w:before="215" w:line="284" w:lineRule="auto"/>
        <w:ind w:left="1100" w:right="344" w:hanging="698"/>
        <w:jc w:val="both"/>
        <w:rPr>
          <w:rFonts w:ascii="黑体" w:hAnsi="黑体" w:eastAsia="黑体" w:cs="黑体"/>
          <w:spacing w:val="-2"/>
          <w:sz w:val="32"/>
          <w:szCs w:val="32"/>
        </w:rPr>
      </w:pPr>
      <w:r>
        <w:rPr>
          <w:rFonts w:ascii="黑体" w:hAnsi="黑体" w:eastAsia="黑体" w:cs="黑体"/>
          <w:spacing w:val="-2"/>
          <w:sz w:val="32"/>
          <w:szCs w:val="32"/>
        </w:rPr>
        <w:t>二、2023年度项目绩效自评表</w:t>
      </w:r>
    </w:p>
    <w:p w14:paraId="2BE9C3A5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215" w:line="284" w:lineRule="auto"/>
        <w:ind w:right="0"/>
        <w:jc w:val="both"/>
        <w:textAlignment w:val="baseline"/>
        <w:rPr>
          <w:rFonts w:hint="eastAsia" w:ascii="黑体" w:hAnsi="黑体" w:eastAsia="黑体" w:cs="黑体"/>
          <w:spacing w:val="-2"/>
          <w:sz w:val="32"/>
          <w:szCs w:val="32"/>
          <w:lang w:eastAsia="zh-CN"/>
        </w:rPr>
        <w:sectPr>
          <w:pgSz w:w="11900" w:h="16840"/>
          <w:pgMar w:top="1431" w:right="1686" w:bottom="1717" w:left="1785" w:header="0" w:footer="1468" w:gutter="0"/>
          <w:cols w:space="720" w:num="1"/>
        </w:sectPr>
      </w:pPr>
      <w:r>
        <w:drawing>
          <wp:inline distT="0" distB="0" distL="114300" distR="114300">
            <wp:extent cx="4983480" cy="8155305"/>
            <wp:effectExtent l="0" t="0" r="7620" b="17145"/>
            <wp:docPr id="1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983480" cy="815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6C872C">
      <w:pPr>
        <w:jc w:val="both"/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仿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BAB0F54">
    <w:pPr>
      <w:pStyle w:val="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D21F5A0">
    <w:pPr>
      <w:pStyle w:val="3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FC0A051">
    <w:pPr>
      <w:pStyle w:val="3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41D6A7B">
    <w:pPr>
      <w:pStyle w:val="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BF476ED"/>
    <w:multiLevelType w:val="singleLevel"/>
    <w:tmpl w:val="FBF476ED"/>
    <w:lvl w:ilvl="0" w:tentative="0">
      <w:start w:val="13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34F8BF6D"/>
    <w:multiLevelType w:val="singleLevel"/>
    <w:tmpl w:val="34F8BF6D"/>
    <w:lvl w:ilvl="0" w:tentative="0">
      <w:start w:val="4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3FF3CFEE"/>
    <w:multiLevelType w:val="singleLevel"/>
    <w:tmpl w:val="3FF3CFEE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3">
    <w:nsid w:val="4DC71F7E"/>
    <w:multiLevelType w:val="singleLevel"/>
    <w:tmpl w:val="4DC71F7E"/>
    <w:lvl w:ilvl="0" w:tentative="0">
      <w:start w:val="1"/>
      <w:numFmt w:val="chineseCounting"/>
      <w:suff w:val="space"/>
      <w:lvlText w:val="第%1部分"/>
      <w:lvlJc w:val="left"/>
      <w:rPr>
        <w:rFonts w:hint="eastAsia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U1NTllNTI4NTNiYjZmZmYzOWEwODdmOWZjNTM1ZjEifQ=="/>
  </w:docVars>
  <w:rsids>
    <w:rsidRoot w:val="5FF6298D"/>
    <w:rsid w:val="018A5227"/>
    <w:rsid w:val="17BD84BB"/>
    <w:rsid w:val="17EB6CD0"/>
    <w:rsid w:val="1AFC8D12"/>
    <w:rsid w:val="1BF7B04A"/>
    <w:rsid w:val="1CFF7970"/>
    <w:rsid w:val="20E209FC"/>
    <w:rsid w:val="2AB7525C"/>
    <w:rsid w:val="2F7EDB25"/>
    <w:rsid w:val="39EB8E33"/>
    <w:rsid w:val="3BBFCA76"/>
    <w:rsid w:val="44A976B2"/>
    <w:rsid w:val="58BB9C82"/>
    <w:rsid w:val="5FF6298D"/>
    <w:rsid w:val="67F9473A"/>
    <w:rsid w:val="6B6118AE"/>
    <w:rsid w:val="7B557419"/>
    <w:rsid w:val="7BF35329"/>
    <w:rsid w:val="7D7F4D13"/>
    <w:rsid w:val="7EEFF4A8"/>
    <w:rsid w:val="7F77BA77"/>
    <w:rsid w:val="7F77F45D"/>
    <w:rsid w:val="7FBF8489"/>
    <w:rsid w:val="7FD9C192"/>
    <w:rsid w:val="7FFD1BA8"/>
    <w:rsid w:val="9DED5EFC"/>
    <w:rsid w:val="ABBF6B76"/>
    <w:rsid w:val="B4F4498A"/>
    <w:rsid w:val="BBE9A4B0"/>
    <w:rsid w:val="BBF7C6D3"/>
    <w:rsid w:val="BEFE07DF"/>
    <w:rsid w:val="BF7B4CF3"/>
    <w:rsid w:val="CF9B8E40"/>
    <w:rsid w:val="D5FBBBD7"/>
    <w:rsid w:val="DBBBCAE5"/>
    <w:rsid w:val="DBF7AF1E"/>
    <w:rsid w:val="F5EFF90C"/>
    <w:rsid w:val="F7F66F3B"/>
    <w:rsid w:val="F95FAEAD"/>
    <w:rsid w:val="FA47C10D"/>
    <w:rsid w:val="FBC86AF0"/>
    <w:rsid w:val="FBFF24ED"/>
    <w:rsid w:val="FD5FC9AC"/>
    <w:rsid w:val="FE6F55E3"/>
    <w:rsid w:val="FF57E130"/>
    <w:rsid w:val="FF5ED140"/>
    <w:rsid w:val="FF7B66E0"/>
    <w:rsid w:val="FFDD5C02"/>
    <w:rsid w:val="FFFF6E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仿宋" w:hAnsi="仿宋" w:eastAsia="仿宋" w:cs="仿宋"/>
      <w:sz w:val="32"/>
      <w:szCs w:val="32"/>
      <w:lang w:val="en-US" w:eastAsia="en-US" w:bidi="ar-SA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customStyle="1" w:styleId="7">
    <w:name w:val="Table Text"/>
    <w:basedOn w:val="1"/>
    <w:semiHidden/>
    <w:qFormat/>
    <w:uiPriority w:val="0"/>
    <w:rPr>
      <w:rFonts w:ascii="Arial" w:hAnsi="Arial" w:eastAsia="Arial" w:cs="Arial"/>
      <w:sz w:val="21"/>
      <w:szCs w:val="21"/>
      <w:lang w:val="en-US" w:eastAsia="en-US" w:bidi="ar-SA"/>
    </w:rPr>
  </w:style>
  <w:style w:type="table" w:customStyle="1" w:styleId="8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4.xml"/><Relationship Id="rId7" Type="http://schemas.openxmlformats.org/officeDocument/2006/relationships/footer" Target="footer3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5" Type="http://schemas.openxmlformats.org/officeDocument/2006/relationships/fontTable" Target="fontTable.xml"/><Relationship Id="rId24" Type="http://schemas.openxmlformats.org/officeDocument/2006/relationships/numbering" Target="numbering.xml"/><Relationship Id="rId23" Type="http://schemas.openxmlformats.org/officeDocument/2006/relationships/image" Target="media/image11.png"/><Relationship Id="rId22" Type="http://schemas.openxmlformats.org/officeDocument/2006/relationships/image" Target="media/image10.png"/><Relationship Id="rId21" Type="http://schemas.openxmlformats.org/officeDocument/2006/relationships/chart" Target="charts/chart3.xml"/><Relationship Id="rId20" Type="http://schemas.openxmlformats.org/officeDocument/2006/relationships/chart" Target="charts/chart2.xml"/><Relationship Id="rId2" Type="http://schemas.openxmlformats.org/officeDocument/2006/relationships/settings" Target="settings.xml"/><Relationship Id="rId19" Type="http://schemas.openxmlformats.org/officeDocument/2006/relationships/chart" Target="charts/chart1.xml"/><Relationship Id="rId18" Type="http://schemas.openxmlformats.org/officeDocument/2006/relationships/image" Target="media/image9.png"/><Relationship Id="rId17" Type="http://schemas.openxmlformats.org/officeDocument/2006/relationships/image" Target="media/image8.png"/><Relationship Id="rId16" Type="http://schemas.openxmlformats.org/officeDocument/2006/relationships/image" Target="media/image7.png"/><Relationship Id="rId15" Type="http://schemas.openxmlformats.org/officeDocument/2006/relationships/image" Target="media/image6.png"/><Relationship Id="rId14" Type="http://schemas.openxmlformats.org/officeDocument/2006/relationships/image" Target="media/image5.png"/><Relationship Id="rId13" Type="http://schemas.openxmlformats.org/officeDocument/2006/relationships/image" Target="media/image4.png"/><Relationship Id="rId12" Type="http://schemas.openxmlformats.org/officeDocument/2006/relationships/image" Target="media/image3.png"/><Relationship Id="rId11" Type="http://schemas.openxmlformats.org/officeDocument/2006/relationships/image" Target="media/image2.png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word/charts/_rels/chart1.xml.rels><?xml version="1.0" encoding="UTF-8" standalone="yes"?>
<Relationships xmlns="http://schemas.openxmlformats.org/package/2006/relationships"><Relationship Id="rId3" Type="http://schemas.microsoft.com/office/2011/relationships/chartColorStyle" Target="colors3.xml"/><Relationship Id="rId2" Type="http://schemas.microsoft.com/office/2011/relationships/chartStyle" Target="style3.xml"/><Relationship Id="rId1" Type="http://schemas.openxmlformats.org/officeDocument/2006/relationships/oleObject" Target="&#24037;&#20316;&#31807;1" TargetMode="External"/></Relationships>
</file>

<file path=word/charts/_rels/chart2.xml.rels><?xml version="1.0" encoding="UTF-8" standalone="yes"?>
<Relationships xmlns="http://schemas.openxmlformats.org/package/2006/relationships"><Relationship Id="rId3" Type="http://schemas.microsoft.com/office/2011/relationships/chartColorStyle" Target="colors2.xml"/><Relationship Id="rId2" Type="http://schemas.microsoft.com/office/2011/relationships/chartStyle" Target="style2.xml"/><Relationship Id="rId1" Type="http://schemas.openxmlformats.org/officeDocument/2006/relationships/oleObject" Target="&#24037;&#20316;&#31807;1" TargetMode="External"/></Relationships>
</file>

<file path=word/charts/_rels/chart3.xml.rels><?xml version="1.0" encoding="UTF-8" standalone="yes"?>
<Relationships xmlns="http://schemas.openxmlformats.org/package/2006/relationships"><Relationship Id="rId3" Type="http://schemas.microsoft.com/office/2011/relationships/chartColorStyle" Target="colors1.xml"/><Relationship Id="rId2" Type="http://schemas.microsoft.com/office/2011/relationships/chartStyle" Target="style1.xml"/><Relationship Id="rId1" Type="http://schemas.openxmlformats.org/officeDocument/2006/relationships/oleObject" Target="&#24037;&#20316;&#31807;1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0" vertOverflow="ellipsis" vert="horz" wrap="square" anchor="ctr" anchorCtr="1"/>
          <a:lstStyle/>
          <a:p>
            <a:pPr defTabSz="914400">
              <a:defRPr lang="zh-CN" sz="1400" b="1" i="0" u="none" strike="noStrike" kern="1200" spc="0" baseline="0">
                <a:solidFill>
                  <a:sysClr val="windowText" lastClr="000000"/>
                </a:solidFill>
                <a:latin typeface="仿宋" panose="02010609060101010101" charset="-122"/>
                <a:ea typeface="仿宋" panose="02010609060101010101" charset="-122"/>
                <a:cs typeface="仿宋" panose="02010609060101010101" charset="-122"/>
                <a:sym typeface="仿宋" panose="02010609060101010101" charset="-122"/>
              </a:defRPr>
            </a:pPr>
            <a:r>
              <a:rPr b="1">
                <a:solidFill>
                  <a:sysClr val="windowText" lastClr="000000"/>
                </a:solidFill>
                <a:latin typeface="仿宋" panose="02010609060101010101" charset="-122"/>
                <a:ea typeface="仿宋" panose="02010609060101010101" charset="-122"/>
                <a:cs typeface="仿宋" panose="02010609060101010101" charset="-122"/>
                <a:sym typeface="仿宋" panose="02010609060101010101" charset="-122"/>
              </a:rPr>
              <a:t>图1：收、支决算总计变动情况</a:t>
            </a:r>
            <a:endParaRPr b="1">
              <a:solidFill>
                <a:sysClr val="windowText" lastClr="000000"/>
              </a:solidFill>
              <a:latin typeface="仿宋" panose="02010609060101010101" charset="-122"/>
              <a:ea typeface="仿宋" panose="02010609060101010101" charset="-122"/>
              <a:cs typeface="仿宋" panose="02010609060101010101" charset="-122"/>
              <a:sym typeface="仿宋" panose="02010609060101010101" charset="-122"/>
            </a:endParaRPr>
          </a:p>
        </c:rich>
      </c:tx>
      <c:layout>
        <c:manualLayout>
          <c:xMode val="edge"/>
          <c:yMode val="edge"/>
          <c:x val="0.237361111111111"/>
          <c:y val="0.0451388888888889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[工作簿1]Sheet1!$N$2</c:f>
              <c:strCache>
                <c:ptCount val="1"/>
                <c:pt idx="0">
                  <c:v>收入总计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elete val="1"/>
          </c:dLbls>
          <c:cat>
            <c:strRef>
              <c:f>[工作簿1]Sheet1!$M$3:$M$4</c:f>
              <c:strCache>
                <c:ptCount val="2"/>
                <c:pt idx="0">
                  <c:v>2022年度</c:v>
                </c:pt>
                <c:pt idx="1">
                  <c:v>2023年度</c:v>
                </c:pt>
              </c:strCache>
            </c:strRef>
          </c:cat>
          <c:val>
            <c:numRef>
              <c:f>[工作簿1]Sheet1!$N$3:$N$4</c:f>
              <c:numCache>
                <c:formatCode>General</c:formatCode>
                <c:ptCount val="2"/>
                <c:pt idx="0">
                  <c:v>4173.88</c:v>
                </c:pt>
                <c:pt idx="1">
                  <c:v>4727.16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923227528"/>
        <c:axId val="663889573"/>
      </c:barChart>
      <c:catAx>
        <c:axId val="923227528"/>
        <c:scaling>
          <c:orientation val="minMax"/>
        </c:scaling>
        <c:delete val="0"/>
        <c:axPos val="b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0" vertOverflow="ellipsis" vert="horz" wrap="square" anchor="ctr" anchorCtr="1"/>
          <a:lstStyle/>
          <a:p>
            <a:pPr>
              <a:defRPr lang="zh-CN"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</a:p>
        </c:txPr>
        <c:crossAx val="663889573"/>
        <c:crosses val="autoZero"/>
        <c:auto val="1"/>
        <c:lblAlgn val="ctr"/>
        <c:lblOffset val="100"/>
        <c:noMultiLvlLbl val="0"/>
      </c:catAx>
      <c:valAx>
        <c:axId val="663889573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0" vertOverflow="ellipsis" vert="horz" wrap="square" anchor="ctr" anchorCtr="1"/>
          <a:lstStyle/>
          <a:p>
            <a:pPr>
              <a:defRPr lang="zh-CN"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</a:p>
        </c:txPr>
        <c:crossAx val="9232275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0" vertOverflow="ellipsis" vert="horz" wrap="square" anchor="ctr" anchorCtr="1"/>
        <a:lstStyle/>
        <a:p>
          <a:pPr>
            <a:defRPr lang="zh-CN"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lang="zh-CN"/>
      </a:pPr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0" vertOverflow="ellipsis" vert="horz" wrap="square" anchor="ctr" anchorCtr="1"/>
          <a:lstStyle/>
          <a:p>
            <a:pPr defTabSz="914400">
              <a:defRPr lang="zh-CN" sz="1400" b="1" i="0" u="none" strike="noStrike" kern="1200" spc="0" baseline="0">
                <a:solidFill>
                  <a:schemeClr val="tx1"/>
                </a:solidFill>
                <a:latin typeface="仿宋" panose="02010609060101010101" charset="-122"/>
                <a:ea typeface="仿宋" panose="02010609060101010101" charset="-122"/>
                <a:cs typeface="仿宋" panose="02010609060101010101" charset="-122"/>
                <a:sym typeface="仿宋" panose="02010609060101010101" charset="-122"/>
              </a:defRPr>
            </a:pPr>
            <a:r>
              <a:rPr b="1">
                <a:solidFill>
                  <a:schemeClr val="tx1"/>
                </a:solidFill>
                <a:latin typeface="仿宋" panose="02010609060101010101" charset="-122"/>
                <a:ea typeface="仿宋" panose="02010609060101010101" charset="-122"/>
                <a:cs typeface="仿宋" panose="02010609060101010101" charset="-122"/>
                <a:sym typeface="仿宋" panose="02010609060101010101" charset="-122"/>
              </a:rPr>
              <a:t>图</a:t>
            </a:r>
            <a:r>
              <a:rPr lang="en-US" altLang="zh-CN" b="1">
                <a:solidFill>
                  <a:schemeClr val="tx1"/>
                </a:solidFill>
                <a:latin typeface="仿宋" panose="02010609060101010101" charset="-122"/>
                <a:ea typeface="仿宋" panose="02010609060101010101" charset="-122"/>
                <a:cs typeface="仿宋" panose="02010609060101010101" charset="-122"/>
                <a:sym typeface="仿宋" panose="02010609060101010101" charset="-122"/>
              </a:rPr>
              <a:t>2</a:t>
            </a:r>
            <a:r>
              <a:rPr altLang="en-US" b="1">
                <a:solidFill>
                  <a:schemeClr val="tx1"/>
                </a:solidFill>
                <a:latin typeface="仿宋" panose="02010609060101010101" charset="-122"/>
                <a:ea typeface="仿宋" panose="02010609060101010101" charset="-122"/>
                <a:cs typeface="仿宋" panose="02010609060101010101" charset="-122"/>
                <a:sym typeface="仿宋" panose="02010609060101010101" charset="-122"/>
              </a:rPr>
              <a:t>：收入决算结构</a:t>
            </a:r>
            <a:endParaRPr altLang="en-US" b="1">
              <a:solidFill>
                <a:schemeClr val="tx1"/>
              </a:solidFill>
              <a:latin typeface="仿宋" panose="02010609060101010101" charset="-122"/>
              <a:ea typeface="仿宋" panose="02010609060101010101" charset="-122"/>
              <a:cs typeface="仿宋" panose="02010609060101010101" charset="-122"/>
              <a:sym typeface="仿宋" panose="02010609060101010101" charset="-122"/>
            </a:endParaRPr>
          </a:p>
        </c:rich>
      </c:tx>
      <c:layout>
        <c:manualLayout>
          <c:xMode val="edge"/>
          <c:yMode val="edge"/>
          <c:x val="0.325763888888889"/>
          <c:y val="0.03125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/>
      <c:pieChart>
        <c:varyColors val="1"/>
        <c:ser>
          <c:idx val="0"/>
          <c:order val="0"/>
          <c:tx>
            <c:strRef>
              <c:f>[工作簿1]Sheet1!$H$2</c:f>
              <c:strCache>
                <c:ptCount val="1"/>
                <c:pt idx="0">
                  <c:v>占比</c:v>
                </c:pt>
              </c:strCache>
            </c:strRef>
          </c:tx>
          <c:spPr/>
          <c:explosion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0" vertOverflow="ellipsis" vert="horz" wrap="square" lIns="38100" tIns="19050" rIns="38100" bIns="19050" anchor="ctr" anchorCtr="1"/>
              <a:lstStyle/>
              <a:p>
                <a:pPr>
                  <a:defRPr lang="zh-CN"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[工作簿1]Sheet1!$G$3:$G$7</c:f>
              <c:strCache>
                <c:ptCount val="5"/>
                <c:pt idx="0">
                  <c:v>财政拨款收入</c:v>
                </c:pt>
                <c:pt idx="1">
                  <c:v>上级补助收入</c:v>
                </c:pt>
                <c:pt idx="2">
                  <c:v>事业收入</c:v>
                </c:pt>
                <c:pt idx="3">
                  <c:v>经营收入</c:v>
                </c:pt>
                <c:pt idx="4">
                  <c:v>其他收入</c:v>
                </c:pt>
              </c:strCache>
            </c:strRef>
          </c:cat>
          <c:val>
            <c:numRef>
              <c:f>[工作簿1]Sheet1!$H$3:$H$7</c:f>
              <c:numCache>
                <c:formatCode>0%</c:formatCode>
                <c:ptCount val="5"/>
                <c:pt idx="0">
                  <c:v>1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0" vertOverflow="ellipsis" vert="horz" wrap="square" anchor="ctr" anchorCtr="1"/>
        <a:lstStyle/>
        <a:p>
          <a:pPr>
            <a:defRPr lang="zh-CN"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lang="zh-CN"/>
      </a:pPr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0" vertOverflow="ellipsis" vert="horz" wrap="square" anchor="ctr" anchorCtr="1"/>
          <a:lstStyle/>
          <a:p>
            <a:pPr defTabSz="914400">
              <a:defRPr lang="zh-CN" sz="1400" b="1" i="0" u="none" strike="noStrike" kern="1200" spc="0" baseline="0">
                <a:solidFill>
                  <a:schemeClr val="tx1"/>
                </a:solidFill>
                <a:latin typeface="仿宋" panose="02010609060101010101" charset="-122"/>
                <a:ea typeface="仿宋" panose="02010609060101010101" charset="-122"/>
                <a:cs typeface="仿宋" panose="02010609060101010101" charset="-122"/>
                <a:sym typeface="仿宋" panose="02010609060101010101" charset="-122"/>
              </a:defRPr>
            </a:pPr>
            <a:r>
              <a:rPr b="1">
                <a:solidFill>
                  <a:schemeClr val="tx1"/>
                </a:solidFill>
                <a:latin typeface="仿宋" panose="02010609060101010101" charset="-122"/>
                <a:ea typeface="仿宋" panose="02010609060101010101" charset="-122"/>
                <a:cs typeface="仿宋" panose="02010609060101010101" charset="-122"/>
                <a:sym typeface="仿宋" panose="02010609060101010101" charset="-122"/>
              </a:rPr>
              <a:t>图</a:t>
            </a:r>
            <a:r>
              <a:rPr lang="en-US" altLang="zh-CN" b="1">
                <a:solidFill>
                  <a:schemeClr val="tx1"/>
                </a:solidFill>
                <a:latin typeface="仿宋" panose="02010609060101010101" charset="-122"/>
                <a:ea typeface="仿宋" panose="02010609060101010101" charset="-122"/>
                <a:cs typeface="仿宋" panose="02010609060101010101" charset="-122"/>
                <a:sym typeface="仿宋" panose="02010609060101010101" charset="-122"/>
              </a:rPr>
              <a:t>3</a:t>
            </a:r>
            <a:r>
              <a:rPr altLang="en-US" b="1">
                <a:solidFill>
                  <a:schemeClr val="tx1"/>
                </a:solidFill>
                <a:latin typeface="仿宋" panose="02010609060101010101" charset="-122"/>
                <a:ea typeface="仿宋" panose="02010609060101010101" charset="-122"/>
                <a:cs typeface="仿宋" panose="02010609060101010101" charset="-122"/>
                <a:sym typeface="仿宋" panose="02010609060101010101" charset="-122"/>
              </a:rPr>
              <a:t>：支出决算结构</a:t>
            </a:r>
            <a:endParaRPr altLang="en-US" b="1">
              <a:solidFill>
                <a:schemeClr val="tx1"/>
              </a:solidFill>
              <a:latin typeface="仿宋" panose="02010609060101010101" charset="-122"/>
              <a:ea typeface="仿宋" panose="02010609060101010101" charset="-122"/>
              <a:cs typeface="仿宋" panose="02010609060101010101" charset="-122"/>
              <a:sym typeface="仿宋" panose="02010609060101010101" charset="-122"/>
            </a:endParaRPr>
          </a:p>
        </c:rich>
      </c:tx>
      <c:layout/>
      <c:overlay val="0"/>
      <c:spPr>
        <a:noFill/>
        <a:ln>
          <a:noFill/>
        </a:ln>
        <a:effectLst/>
      </c:spPr>
    </c:title>
    <c:autoTitleDeleted val="0"/>
    <c:plotArea>
      <c:layout/>
      <c:pieChart>
        <c:varyColors val="1"/>
        <c:ser>
          <c:idx val="0"/>
          <c:order val="0"/>
          <c:tx>
            <c:strRef>
              <c:f>[工作簿1]Sheet1!$H$2</c:f>
              <c:strCache>
                <c:ptCount val="1"/>
                <c:pt idx="0">
                  <c:v>占比</c:v>
                </c:pt>
              </c:strCache>
            </c:strRef>
          </c:tx>
          <c:spPr/>
          <c:explosion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0" vertOverflow="ellipsis" vert="horz" wrap="square" lIns="38100" tIns="19050" rIns="38100" bIns="19050" anchor="ctr" anchorCtr="1"/>
              <a:lstStyle/>
              <a:p>
                <a:pPr>
                  <a:defRPr lang="zh-CN"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[工作簿1]Sheet1!$G$3:$G$7</c:f>
              <c:strCache>
                <c:ptCount val="5"/>
                <c:pt idx="0">
                  <c:v>基本支出</c:v>
                </c:pt>
                <c:pt idx="1">
                  <c:v>项目支出</c:v>
                </c:pt>
                <c:pt idx="2">
                  <c:v>上缴上级支出</c:v>
                </c:pt>
                <c:pt idx="3">
                  <c:v>经营支出</c:v>
                </c:pt>
              </c:strCache>
            </c:strRef>
          </c:cat>
          <c:val>
            <c:numRef>
              <c:f>[工作簿1]Sheet1!$H$3:$H$7</c:f>
              <c:numCache>
                <c:formatCode>0.00%</c:formatCode>
                <c:ptCount val="5"/>
                <c:pt idx="0">
                  <c:v>0.204</c:v>
                </c:pt>
                <c:pt idx="1">
                  <c:v>0.796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733006179571065"/>
          <c:y val="0.361204481792717"/>
        </c:manualLayout>
      </c:layout>
      <c:overlay val="0"/>
      <c:spPr>
        <a:noFill/>
        <a:ln>
          <a:noFill/>
        </a:ln>
        <a:effectLst/>
      </c:spPr>
      <c:txPr>
        <a:bodyPr rot="0" spcFirstLastPara="0" vertOverflow="ellipsis" vert="horz" wrap="square" anchor="ctr" anchorCtr="1"/>
        <a:lstStyle/>
        <a:p>
          <a:pPr>
            <a:defRPr lang="zh-CN"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lang="zh-CN"/>
      </a:pPr>
    </a:p>
  </c:txPr>
  <c:externalData r:id="rId1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26</Pages>
  <Words>6979</Words>
  <Characters>7355</Characters>
  <Lines>0</Lines>
  <Paragraphs>0</Paragraphs>
  <TotalTime>5</TotalTime>
  <ScaleCrop>false</ScaleCrop>
  <LinksUpToDate>false</LinksUpToDate>
  <CharactersWithSpaces>7355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2024-10-24T00:35:00Z</dcterms:created>
  <dc:creator>Sherry</dc:creator>
  <cp:lastModifiedBy>WPS_1552465839</cp:lastModifiedBy>
  <dcterms:modified xsi:type="dcterms:W3CDTF">2024-10-24T01:52:21Z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96F5FAB8A0117387BC63176775C33814</vt:lpwstr>
  </property>
</Properties>
</file>