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29F639">
      <w:pPr>
        <w:spacing w:line="250" w:lineRule="auto"/>
        <w:jc w:val="both"/>
        <w:rPr>
          <w:rFonts w:ascii="Arial"/>
          <w:sz w:val="21"/>
        </w:rPr>
      </w:pPr>
    </w:p>
    <w:p w14:paraId="573F3894">
      <w:pPr>
        <w:spacing w:line="250" w:lineRule="auto"/>
        <w:jc w:val="both"/>
        <w:rPr>
          <w:rFonts w:ascii="Arial"/>
          <w:sz w:val="21"/>
        </w:rPr>
      </w:pPr>
    </w:p>
    <w:p w14:paraId="2A61EDA9">
      <w:pPr>
        <w:spacing w:line="250" w:lineRule="auto"/>
        <w:jc w:val="both"/>
        <w:rPr>
          <w:rFonts w:ascii="Arial"/>
          <w:sz w:val="21"/>
        </w:rPr>
      </w:pPr>
    </w:p>
    <w:p w14:paraId="5290E959">
      <w:pPr>
        <w:spacing w:line="250" w:lineRule="auto"/>
        <w:jc w:val="both"/>
        <w:rPr>
          <w:rFonts w:ascii="Arial"/>
          <w:sz w:val="21"/>
        </w:rPr>
      </w:pPr>
    </w:p>
    <w:p w14:paraId="03AF4900">
      <w:pPr>
        <w:spacing w:line="250" w:lineRule="auto"/>
        <w:jc w:val="both"/>
        <w:rPr>
          <w:rFonts w:ascii="Arial"/>
          <w:sz w:val="21"/>
        </w:rPr>
      </w:pPr>
    </w:p>
    <w:p w14:paraId="18844285">
      <w:pPr>
        <w:spacing w:line="251" w:lineRule="auto"/>
        <w:jc w:val="both"/>
        <w:rPr>
          <w:rFonts w:ascii="Arial"/>
          <w:sz w:val="21"/>
        </w:rPr>
      </w:pPr>
    </w:p>
    <w:p w14:paraId="06B98C2F">
      <w:pPr>
        <w:spacing w:line="251" w:lineRule="auto"/>
        <w:jc w:val="both"/>
        <w:rPr>
          <w:rFonts w:ascii="Arial"/>
          <w:sz w:val="21"/>
        </w:rPr>
      </w:pPr>
    </w:p>
    <w:p w14:paraId="5A21E90B">
      <w:pPr>
        <w:spacing w:line="251" w:lineRule="auto"/>
        <w:jc w:val="both"/>
        <w:rPr>
          <w:rFonts w:ascii="Arial"/>
          <w:sz w:val="21"/>
        </w:rPr>
      </w:pPr>
    </w:p>
    <w:p w14:paraId="34043BF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6" w:line="221" w:lineRule="auto"/>
        <w:ind w:right="0"/>
        <w:jc w:val="center"/>
        <w:textAlignment w:val="baseline"/>
        <w:rPr>
          <w:rFonts w:hint="eastAsia" w:ascii="黑体" w:hAnsi="黑体" w:eastAsia="黑体" w:cs="黑体"/>
          <w:spacing w:val="-2"/>
          <w:sz w:val="48"/>
          <w:szCs w:val="48"/>
          <w:u w:val="single" w:color="auto"/>
          <w:lang w:eastAsia="zh-CN"/>
        </w:rPr>
      </w:pPr>
      <w:r>
        <w:rPr>
          <w:rFonts w:ascii="黑体" w:hAnsi="黑体" w:eastAsia="黑体" w:cs="黑体"/>
          <w:spacing w:val="-2"/>
          <w:sz w:val="48"/>
          <w:szCs w:val="48"/>
        </w:rPr>
        <w:t>202</w:t>
      </w:r>
      <w:r>
        <w:rPr>
          <w:rFonts w:hint="eastAsia" w:ascii="黑体" w:hAnsi="黑体" w:eastAsia="黑体" w:cs="黑体"/>
          <w:spacing w:val="-2"/>
          <w:sz w:val="48"/>
          <w:szCs w:val="48"/>
          <w:lang w:val="en-US" w:eastAsia="zh-CN"/>
        </w:rPr>
        <w:t>3年度</w:t>
      </w:r>
      <w:r>
        <w:rPr>
          <w:rFonts w:hint="eastAsia" w:ascii="黑体" w:hAnsi="黑体" w:eastAsia="黑体" w:cs="黑体"/>
          <w:spacing w:val="-2"/>
          <w:sz w:val="48"/>
          <w:szCs w:val="48"/>
          <w:u w:val="single"/>
          <w:lang w:val="en-US" w:eastAsia="zh-CN"/>
        </w:rPr>
        <w:t>武</w:t>
      </w:r>
      <w:r>
        <w:rPr>
          <w:rFonts w:hint="eastAsia" w:ascii="黑体" w:hAnsi="黑体" w:eastAsia="黑体" w:cs="黑体"/>
          <w:spacing w:val="-2"/>
          <w:sz w:val="48"/>
          <w:szCs w:val="48"/>
          <w:u w:val="single" w:color="auto"/>
          <w:lang w:eastAsia="zh-CN"/>
        </w:rPr>
        <w:t>汉市江岸区消防救援大队</w:t>
      </w:r>
    </w:p>
    <w:p w14:paraId="72074CF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6" w:line="221" w:lineRule="auto"/>
        <w:ind w:right="0"/>
        <w:jc w:val="center"/>
        <w:textAlignment w:val="baseline"/>
        <w:rPr>
          <w:rFonts w:ascii="黑体" w:hAnsi="黑体" w:eastAsia="黑体" w:cs="黑体"/>
          <w:spacing w:val="-2"/>
          <w:sz w:val="48"/>
          <w:szCs w:val="48"/>
        </w:rPr>
      </w:pPr>
      <w:r>
        <w:rPr>
          <w:rFonts w:ascii="黑体" w:hAnsi="黑体" w:eastAsia="黑体" w:cs="黑体"/>
          <w:spacing w:val="-2"/>
          <w:sz w:val="48"/>
          <w:szCs w:val="48"/>
        </w:rPr>
        <w:t>部门决算公开</w:t>
      </w:r>
    </w:p>
    <w:p w14:paraId="5D3DDAE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6" w:line="221" w:lineRule="auto"/>
        <w:ind w:right="0"/>
        <w:jc w:val="both"/>
        <w:textAlignment w:val="baseline"/>
        <w:rPr>
          <w:rFonts w:ascii="黑体" w:hAnsi="黑体" w:eastAsia="黑体" w:cs="黑体"/>
          <w:spacing w:val="-2"/>
          <w:sz w:val="48"/>
          <w:szCs w:val="48"/>
        </w:rPr>
      </w:pPr>
    </w:p>
    <w:p w14:paraId="29B441B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6" w:line="221" w:lineRule="auto"/>
        <w:ind w:right="0"/>
        <w:jc w:val="both"/>
        <w:textAlignment w:val="baseline"/>
        <w:rPr>
          <w:rFonts w:ascii="黑体" w:hAnsi="黑体" w:eastAsia="黑体" w:cs="黑体"/>
          <w:spacing w:val="-2"/>
          <w:sz w:val="48"/>
          <w:szCs w:val="48"/>
        </w:rPr>
      </w:pPr>
    </w:p>
    <w:p w14:paraId="38383BE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6" w:line="221" w:lineRule="auto"/>
        <w:ind w:right="0"/>
        <w:jc w:val="both"/>
        <w:textAlignment w:val="baseline"/>
        <w:rPr>
          <w:rFonts w:ascii="黑体" w:hAnsi="黑体" w:eastAsia="黑体" w:cs="黑体"/>
          <w:spacing w:val="-2"/>
          <w:sz w:val="48"/>
          <w:szCs w:val="48"/>
        </w:rPr>
      </w:pPr>
    </w:p>
    <w:p w14:paraId="63B822D0">
      <w:pPr>
        <w:spacing w:line="241" w:lineRule="auto"/>
        <w:jc w:val="both"/>
        <w:rPr>
          <w:rFonts w:ascii="Arial"/>
          <w:sz w:val="21"/>
        </w:rPr>
      </w:pPr>
    </w:p>
    <w:p w14:paraId="7B16C21A">
      <w:pPr>
        <w:pStyle w:val="2"/>
        <w:spacing w:before="104" w:line="224" w:lineRule="auto"/>
        <w:ind w:left="3167"/>
        <w:jc w:val="both"/>
      </w:pPr>
    </w:p>
    <w:p w14:paraId="2F519EBB">
      <w:pPr>
        <w:spacing w:line="224" w:lineRule="auto"/>
        <w:jc w:val="both"/>
        <w:sectPr>
          <w:pgSz w:w="11900" w:h="16840"/>
          <w:pgMar w:top="1431" w:right="1785" w:bottom="1717" w:left="1561" w:header="0" w:footer="1468" w:gutter="0"/>
          <w:cols w:space="720" w:num="1"/>
        </w:sectPr>
      </w:pPr>
    </w:p>
    <w:p w14:paraId="1943E6C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3" w:line="560" w:lineRule="exact"/>
        <w:ind w:left="3361"/>
        <w:jc w:val="both"/>
        <w:textAlignment w:val="baseline"/>
        <w:outlineLvl w:val="0"/>
        <w:rPr>
          <w:rFonts w:ascii="黑体" w:hAnsi="黑体" w:eastAsia="黑体" w:cs="黑体"/>
          <w:sz w:val="44"/>
          <w:szCs w:val="44"/>
        </w:rPr>
      </w:pPr>
      <w:r>
        <w:rPr>
          <w:rFonts w:ascii="黑体" w:hAnsi="黑体" w:eastAsia="黑体" w:cs="黑体"/>
          <w:spacing w:val="-36"/>
          <w:sz w:val="44"/>
          <w:szCs w:val="44"/>
        </w:rPr>
        <w:t>目录</w:t>
      </w:r>
    </w:p>
    <w:p w14:paraId="061BF26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ascii="Arial"/>
          <w:sz w:val="21"/>
        </w:rPr>
      </w:pPr>
    </w:p>
    <w:p w14:paraId="2516FE5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ascii="Arial"/>
          <w:sz w:val="21"/>
        </w:rPr>
      </w:pPr>
    </w:p>
    <w:p w14:paraId="2DF781B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397"/>
        <w:jc w:val="both"/>
        <w:textAlignment w:val="baseline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3"/>
          <w:sz w:val="32"/>
          <w:szCs w:val="32"/>
        </w:rPr>
        <w:t>第一部分</w:t>
      </w:r>
      <w:r>
        <w:rPr>
          <w:rFonts w:hint="eastAsia" w:ascii="黑体" w:hAnsi="黑体" w:eastAsia="黑体" w:cs="黑体"/>
          <w:spacing w:val="-3"/>
          <w:sz w:val="32"/>
          <w:szCs w:val="32"/>
          <w:u w:val="single"/>
          <w:lang w:val="en-US" w:eastAsia="zh-CN"/>
        </w:rPr>
        <w:t>武</w:t>
      </w:r>
      <w:r>
        <w:rPr>
          <w:rFonts w:hint="eastAsia" w:ascii="黑体" w:hAnsi="黑体" w:eastAsia="黑体" w:cs="黑体"/>
          <w:spacing w:val="-3"/>
          <w:sz w:val="32"/>
          <w:szCs w:val="32"/>
          <w:u w:val="single" w:color="auto"/>
        </w:rPr>
        <w:t>汉市江岸区消防救援大队</w:t>
      </w:r>
      <w:r>
        <w:rPr>
          <w:rFonts w:ascii="黑体" w:hAnsi="黑体" w:eastAsia="黑体" w:cs="黑体"/>
          <w:spacing w:val="-3"/>
          <w:sz w:val="32"/>
          <w:szCs w:val="32"/>
        </w:rPr>
        <w:t>概况</w:t>
      </w:r>
    </w:p>
    <w:p w14:paraId="3215E3E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6" w:line="560" w:lineRule="exact"/>
        <w:ind w:left="417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4"/>
        </w:rPr>
        <w:t>一、部门主要职责</w:t>
      </w:r>
    </w:p>
    <w:p w14:paraId="16166C1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4" w:line="560" w:lineRule="exact"/>
        <w:ind w:left="414"/>
        <w:jc w:val="both"/>
        <w:textAlignment w:val="baseline"/>
      </w:pPr>
      <w:r>
        <w:rPr>
          <w:rFonts w:hint="eastAsia" w:ascii="方正仿宋_GBK" w:hAnsi="方正仿宋_GBK" w:eastAsia="方正仿宋_GBK" w:cs="方正仿宋_GBK"/>
          <w:spacing w:val="-4"/>
        </w:rPr>
        <w:t>二、机构设置情况</w:t>
      </w:r>
    </w:p>
    <w:p w14:paraId="7D25612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0" w:line="560" w:lineRule="exact"/>
        <w:ind w:left="397"/>
        <w:jc w:val="both"/>
        <w:textAlignment w:val="baseline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3"/>
          <w:sz w:val="32"/>
          <w:szCs w:val="32"/>
        </w:rPr>
        <w:t>第二部分</w:t>
      </w:r>
      <w:r>
        <w:rPr>
          <w:rFonts w:hint="eastAsia" w:ascii="黑体" w:hAnsi="黑体" w:eastAsia="黑体" w:cs="黑体"/>
          <w:spacing w:val="-3"/>
          <w:sz w:val="32"/>
          <w:szCs w:val="32"/>
          <w:u w:val="single"/>
          <w:lang w:val="en-US" w:eastAsia="zh-CN"/>
        </w:rPr>
        <w:t>武</w:t>
      </w:r>
      <w:r>
        <w:rPr>
          <w:rFonts w:hint="eastAsia" w:ascii="黑体" w:hAnsi="黑体" w:eastAsia="黑体" w:cs="黑体"/>
          <w:spacing w:val="-3"/>
          <w:sz w:val="32"/>
          <w:szCs w:val="32"/>
          <w:u w:val="single" w:color="auto"/>
        </w:rPr>
        <w:t>汉市江岸区消防救援大队</w:t>
      </w:r>
      <w:r>
        <w:rPr>
          <w:rFonts w:hint="eastAsia" w:ascii="黑体" w:hAnsi="黑体" w:eastAsia="黑体" w:cs="黑体"/>
          <w:spacing w:val="-3"/>
          <w:sz w:val="32"/>
          <w:szCs w:val="32"/>
          <w:lang w:val="en-US" w:eastAsia="zh-CN"/>
        </w:rPr>
        <w:t>2023年</w:t>
      </w:r>
      <w:r>
        <w:rPr>
          <w:rFonts w:ascii="黑体" w:hAnsi="黑体" w:eastAsia="黑体" w:cs="黑体"/>
          <w:spacing w:val="-3"/>
          <w:sz w:val="32"/>
          <w:szCs w:val="32"/>
        </w:rPr>
        <w:t>度部门决算表</w:t>
      </w:r>
    </w:p>
    <w:p w14:paraId="082217C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8" w:line="560" w:lineRule="exact"/>
        <w:ind w:left="417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3"/>
        </w:rPr>
        <w:t>一、收入支出决算总表</w:t>
      </w:r>
    </w:p>
    <w:p w14:paraId="50CF7BE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6" w:line="560" w:lineRule="exact"/>
        <w:ind w:left="414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4"/>
        </w:rPr>
        <w:t>二、收入决算表</w:t>
      </w:r>
    </w:p>
    <w:p w14:paraId="14956843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0" w:line="560" w:lineRule="exact"/>
        <w:ind w:left="42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5"/>
        </w:rPr>
        <w:t>三、支出决算表</w:t>
      </w:r>
    </w:p>
    <w:p w14:paraId="66839C9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9" w:line="560" w:lineRule="exact"/>
        <w:ind w:left="434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3"/>
        </w:rPr>
        <w:t>四、财政拨款收入支出决算总表</w:t>
      </w:r>
    </w:p>
    <w:p w14:paraId="5E30724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0" w:line="560" w:lineRule="exact"/>
        <w:ind w:left="408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1"/>
        </w:rPr>
        <w:t>五、一般公共预算财政拨款支出决算表</w:t>
      </w:r>
    </w:p>
    <w:p w14:paraId="2AB9496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2" w:line="560" w:lineRule="exact"/>
        <w:ind w:left="411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1"/>
        </w:rPr>
        <w:t>六、一般公共预算财政拨款基本支出决算明细表</w:t>
      </w:r>
    </w:p>
    <w:p w14:paraId="68F288E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6" w:line="560" w:lineRule="exact"/>
        <w:ind w:left="404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1"/>
        </w:rPr>
        <w:t>七、政府性基金预算财政拨款收入支出决算表</w:t>
      </w:r>
    </w:p>
    <w:p w14:paraId="327C0DB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2" w:line="560" w:lineRule="exact"/>
        <w:ind w:left="403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1"/>
        </w:rPr>
        <w:t>八、国有资本经营预算财政拨款支出决算表</w:t>
      </w:r>
    </w:p>
    <w:p w14:paraId="44E7605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9" w:line="560" w:lineRule="exact"/>
        <w:ind w:left="401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6"/>
        </w:rPr>
        <w:t>九、财政</w:t>
      </w:r>
      <w:r>
        <w:rPr>
          <w:rFonts w:hint="eastAsia" w:ascii="方正仿宋_GBK" w:hAnsi="方正仿宋_GBK" w:eastAsia="方正仿宋_GBK" w:cs="方正仿宋_GBK"/>
          <w:spacing w:val="-6"/>
          <w:lang w:val="en-US" w:eastAsia="zh-CN"/>
        </w:rPr>
        <w:t>拨款“三</w:t>
      </w:r>
      <w:r>
        <w:rPr>
          <w:rFonts w:hint="eastAsia" w:ascii="方正仿宋_GBK" w:hAnsi="方正仿宋_GBK" w:eastAsia="方正仿宋_GBK" w:cs="方正仿宋_GBK"/>
          <w:spacing w:val="-6"/>
        </w:rPr>
        <w:t>公</w:t>
      </w:r>
      <w:r>
        <w:rPr>
          <w:rFonts w:hint="eastAsia" w:ascii="方正仿宋_GBK" w:hAnsi="方正仿宋_GBK" w:eastAsia="方正仿宋_GBK" w:cs="方正仿宋_GBK"/>
          <w:spacing w:val="-6"/>
          <w:lang w:val="en-US" w:eastAsia="zh-CN"/>
        </w:rPr>
        <w:t>”</w:t>
      </w:r>
      <w:r>
        <w:rPr>
          <w:rFonts w:hint="eastAsia" w:ascii="方正仿宋_GBK" w:hAnsi="方正仿宋_GBK" w:eastAsia="方正仿宋_GBK" w:cs="方正仿宋_GBK"/>
          <w:spacing w:val="-6"/>
        </w:rPr>
        <w:t>经费支出决算表</w:t>
      </w:r>
    </w:p>
    <w:p w14:paraId="737BA14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3" w:line="560" w:lineRule="exact"/>
        <w:ind w:left="397"/>
        <w:jc w:val="both"/>
        <w:textAlignment w:val="baseline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第三部分</w:t>
      </w:r>
      <w:r>
        <w:rPr>
          <w:rFonts w:hint="eastAsia" w:ascii="黑体" w:hAnsi="黑体" w:eastAsia="黑体" w:cs="黑体"/>
          <w:spacing w:val="-2"/>
          <w:sz w:val="32"/>
          <w:szCs w:val="32"/>
          <w:u w:val="single"/>
          <w:lang w:val="en-US" w:eastAsia="zh-CN"/>
        </w:rPr>
        <w:t>武汉</w:t>
      </w:r>
      <w:r>
        <w:rPr>
          <w:rFonts w:hint="eastAsia" w:ascii="黑体" w:hAnsi="黑体" w:eastAsia="黑体" w:cs="黑体"/>
          <w:spacing w:val="-2"/>
          <w:sz w:val="32"/>
          <w:szCs w:val="32"/>
          <w:u w:val="single" w:color="auto"/>
          <w:lang w:eastAsia="zh-CN"/>
        </w:rPr>
        <w:t>市江岸区消防救援大队</w:t>
      </w:r>
      <w:r>
        <w:rPr>
          <w:rFonts w:hint="eastAsia" w:ascii="黑体" w:hAnsi="黑体" w:eastAsia="黑体" w:cs="黑体"/>
          <w:spacing w:val="-2"/>
          <w:sz w:val="32"/>
          <w:szCs w:val="32"/>
          <w:u w:val="none" w:color="auto"/>
          <w:lang w:val="en-US" w:eastAsia="zh-CN"/>
        </w:rPr>
        <w:t>2023年度</w:t>
      </w:r>
      <w:r>
        <w:rPr>
          <w:rFonts w:ascii="黑体" w:hAnsi="黑体" w:eastAsia="黑体" w:cs="黑体"/>
          <w:spacing w:val="-2"/>
          <w:sz w:val="32"/>
          <w:szCs w:val="32"/>
        </w:rPr>
        <w:t>部门决算情况说明</w:t>
      </w:r>
    </w:p>
    <w:p w14:paraId="1A6CF4F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3" w:line="560" w:lineRule="exact"/>
        <w:ind w:left="417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3"/>
        </w:rPr>
        <w:t>一、收入支出决算总体情况说明</w:t>
      </w:r>
    </w:p>
    <w:p w14:paraId="60781D0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3" w:line="560" w:lineRule="exact"/>
        <w:ind w:left="414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3"/>
        </w:rPr>
        <w:t>二、收入决算情况说明</w:t>
      </w:r>
    </w:p>
    <w:p w14:paraId="3638D9D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5" w:line="560" w:lineRule="exact"/>
        <w:ind w:left="42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3"/>
        </w:rPr>
        <w:t>三、支出决算情况说明</w:t>
      </w:r>
    </w:p>
    <w:p w14:paraId="3EC9F22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3" w:line="560" w:lineRule="exact"/>
        <w:ind w:left="397"/>
        <w:jc w:val="both"/>
        <w:textAlignment w:val="baseline"/>
        <w:rPr>
          <w:rFonts w:ascii="黑体" w:hAnsi="黑体" w:eastAsia="黑体" w:cs="黑体"/>
          <w:spacing w:val="-2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四、财政拨款收入支出决算总体情况说明</w:t>
      </w:r>
    </w:p>
    <w:p w14:paraId="1304970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9" w:line="560" w:lineRule="exact"/>
        <w:ind w:left="408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2"/>
          <w:lang w:val="en-US" w:eastAsia="zh-CN"/>
        </w:rPr>
        <w:t>一</w:t>
      </w:r>
      <w:r>
        <w:rPr>
          <w:rFonts w:hint="eastAsia" w:ascii="方正仿宋_GBK" w:hAnsi="方正仿宋_GBK" w:eastAsia="方正仿宋_GBK" w:cs="方正仿宋_GBK"/>
          <w:spacing w:val="-2"/>
        </w:rPr>
        <w:t>、一般公共预算财政拨款支出决算情况说明</w:t>
      </w:r>
    </w:p>
    <w:p w14:paraId="068300D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404"/>
        <w:jc w:val="both"/>
        <w:textAlignment w:val="baseline"/>
        <w:rPr>
          <w:rFonts w:hint="eastAsia" w:ascii="方正仿宋_GBK" w:hAnsi="方正仿宋_GBK" w:eastAsia="方正仿宋_GBK" w:cs="方正仿宋_GBK"/>
          <w:spacing w:val="-1"/>
        </w:rPr>
      </w:pPr>
      <w:r>
        <w:rPr>
          <w:rFonts w:hint="eastAsia" w:ascii="方正仿宋_GBK" w:hAnsi="方正仿宋_GBK" w:eastAsia="方正仿宋_GBK" w:cs="方正仿宋_GBK"/>
          <w:spacing w:val="-1"/>
          <w:lang w:val="en-US" w:eastAsia="zh-CN"/>
        </w:rPr>
        <w:t>二</w:t>
      </w:r>
      <w:r>
        <w:rPr>
          <w:rFonts w:hint="eastAsia" w:ascii="方正仿宋_GBK" w:hAnsi="方正仿宋_GBK" w:eastAsia="方正仿宋_GBK" w:cs="方正仿宋_GBK"/>
          <w:spacing w:val="-1"/>
        </w:rPr>
        <w:t>、一般公共预算财政拨款基本支出决算情况说明</w:t>
      </w:r>
    </w:p>
    <w:p w14:paraId="249ADAB3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404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1"/>
          <w:lang w:val="en-US" w:eastAsia="zh-CN"/>
        </w:rPr>
        <w:t>三</w:t>
      </w:r>
      <w:r>
        <w:rPr>
          <w:rFonts w:hint="eastAsia" w:ascii="方正仿宋_GBK" w:hAnsi="方正仿宋_GBK" w:eastAsia="方正仿宋_GBK" w:cs="方正仿宋_GBK"/>
          <w:spacing w:val="-1"/>
        </w:rPr>
        <w:t>、政府性基金预算财政拨款收入支出决算情况说明</w:t>
      </w:r>
    </w:p>
    <w:p w14:paraId="5B00959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1" w:line="560" w:lineRule="exact"/>
        <w:ind w:left="403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1"/>
          <w:lang w:val="en-US" w:eastAsia="zh-CN"/>
        </w:rPr>
        <w:t>四</w:t>
      </w:r>
      <w:r>
        <w:rPr>
          <w:rFonts w:hint="eastAsia" w:ascii="方正仿宋_GBK" w:hAnsi="方正仿宋_GBK" w:eastAsia="方正仿宋_GBK" w:cs="方正仿宋_GBK"/>
          <w:spacing w:val="-1"/>
        </w:rPr>
        <w:t>、国有资本经营预算财政拨款支出决算情况说明</w:t>
      </w:r>
    </w:p>
    <w:p w14:paraId="70126E43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9" w:line="560" w:lineRule="exact"/>
        <w:ind w:left="401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5"/>
          <w:lang w:val="en-US" w:eastAsia="zh-CN"/>
        </w:rPr>
        <w:t>五</w:t>
      </w:r>
      <w:r>
        <w:rPr>
          <w:rFonts w:hint="eastAsia" w:ascii="方正仿宋_GBK" w:hAnsi="方正仿宋_GBK" w:eastAsia="方正仿宋_GBK" w:cs="方正仿宋_GBK"/>
          <w:spacing w:val="-5"/>
        </w:rPr>
        <w:t>、</w:t>
      </w:r>
      <w:r>
        <w:rPr>
          <w:rFonts w:hint="eastAsia" w:ascii="方正仿宋_GBK" w:hAnsi="方正仿宋_GBK" w:eastAsia="方正仿宋_GBK" w:cs="方正仿宋_GBK"/>
          <w:spacing w:val="-6"/>
        </w:rPr>
        <w:t>财政</w:t>
      </w:r>
      <w:r>
        <w:rPr>
          <w:rFonts w:hint="eastAsia" w:ascii="方正仿宋_GBK" w:hAnsi="方正仿宋_GBK" w:eastAsia="方正仿宋_GBK" w:cs="方正仿宋_GBK"/>
          <w:spacing w:val="-6"/>
          <w:lang w:val="en-US" w:eastAsia="zh-CN"/>
        </w:rPr>
        <w:t>拨款“三</w:t>
      </w:r>
      <w:r>
        <w:rPr>
          <w:rFonts w:hint="eastAsia" w:ascii="方正仿宋_GBK" w:hAnsi="方正仿宋_GBK" w:eastAsia="方正仿宋_GBK" w:cs="方正仿宋_GBK"/>
          <w:spacing w:val="-6"/>
        </w:rPr>
        <w:t>公</w:t>
      </w:r>
      <w:r>
        <w:rPr>
          <w:rFonts w:hint="eastAsia" w:ascii="方正仿宋_GBK" w:hAnsi="方正仿宋_GBK" w:eastAsia="方正仿宋_GBK" w:cs="方正仿宋_GBK"/>
          <w:spacing w:val="-6"/>
          <w:lang w:val="en-US" w:eastAsia="zh-CN"/>
        </w:rPr>
        <w:t>”</w:t>
      </w:r>
      <w:r>
        <w:rPr>
          <w:rFonts w:hint="eastAsia" w:ascii="方正仿宋_GBK" w:hAnsi="方正仿宋_GBK" w:eastAsia="方正仿宋_GBK" w:cs="方正仿宋_GBK"/>
          <w:spacing w:val="-5"/>
        </w:rPr>
        <w:t>经费支出决算情况说明</w:t>
      </w:r>
    </w:p>
    <w:p w14:paraId="1DA1C97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0" w:line="560" w:lineRule="exact"/>
        <w:ind w:left="411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2"/>
          <w:lang w:val="en-US" w:eastAsia="zh-CN"/>
        </w:rPr>
        <w:t>六</w:t>
      </w:r>
      <w:r>
        <w:rPr>
          <w:rFonts w:hint="eastAsia" w:ascii="方正仿宋_GBK" w:hAnsi="方正仿宋_GBK" w:eastAsia="方正仿宋_GBK" w:cs="方正仿宋_GBK"/>
          <w:spacing w:val="-2"/>
        </w:rPr>
        <w:t>、机关运行经费支出说明</w:t>
      </w:r>
    </w:p>
    <w:p w14:paraId="7FFBED63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7" w:line="560" w:lineRule="exact"/>
        <w:ind w:left="411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3"/>
          <w:lang w:val="en-US" w:eastAsia="zh-CN"/>
        </w:rPr>
        <w:t>七</w:t>
      </w:r>
      <w:r>
        <w:rPr>
          <w:rFonts w:hint="eastAsia" w:ascii="方正仿宋_GBK" w:hAnsi="方正仿宋_GBK" w:eastAsia="方正仿宋_GBK" w:cs="方正仿宋_GBK"/>
          <w:spacing w:val="-3"/>
        </w:rPr>
        <w:t>、政府采购支出说明</w:t>
      </w:r>
    </w:p>
    <w:p w14:paraId="390BF26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3" w:line="560" w:lineRule="exact"/>
        <w:ind w:left="411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2"/>
          <w:lang w:val="en-US" w:eastAsia="zh-CN"/>
        </w:rPr>
        <w:t>八</w:t>
      </w:r>
      <w:r>
        <w:rPr>
          <w:rFonts w:hint="eastAsia" w:ascii="方正仿宋_GBK" w:hAnsi="方正仿宋_GBK" w:eastAsia="方正仿宋_GBK" w:cs="方正仿宋_GBK"/>
          <w:spacing w:val="-2"/>
        </w:rPr>
        <w:t>、国有资产占用情况说明</w:t>
      </w:r>
    </w:p>
    <w:p w14:paraId="7AE695F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1" w:line="560" w:lineRule="exact"/>
        <w:ind w:left="411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3"/>
          <w:lang w:val="en-US" w:eastAsia="zh-CN"/>
        </w:rPr>
        <w:t>九</w:t>
      </w:r>
      <w:r>
        <w:rPr>
          <w:rFonts w:hint="eastAsia" w:ascii="方正仿宋_GBK" w:hAnsi="方正仿宋_GBK" w:eastAsia="方正仿宋_GBK" w:cs="方正仿宋_GBK"/>
          <w:spacing w:val="-3"/>
        </w:rPr>
        <w:t>、预算绩效情况说明</w:t>
      </w:r>
    </w:p>
    <w:p w14:paraId="61159A9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3" w:line="560" w:lineRule="exact"/>
        <w:ind w:left="397"/>
        <w:jc w:val="both"/>
        <w:textAlignment w:val="baseline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ascii="黑体" w:hAnsi="黑体" w:eastAsia="黑体" w:cs="黑体"/>
          <w:spacing w:val="-2"/>
          <w:sz w:val="32"/>
          <w:szCs w:val="32"/>
        </w:rPr>
        <w:t>第</w:t>
      </w:r>
      <w:r>
        <w:rPr>
          <w:rFonts w:hint="eastAsia" w:ascii="黑体" w:hAnsi="黑体" w:eastAsia="黑体" w:cs="黑体"/>
          <w:spacing w:val="-2"/>
          <w:sz w:val="32"/>
          <w:szCs w:val="32"/>
          <w:lang w:val="en-US" w:eastAsia="zh-CN"/>
        </w:rPr>
        <w:t>四</w:t>
      </w:r>
      <w:r>
        <w:rPr>
          <w:rFonts w:ascii="黑体" w:hAnsi="黑体" w:eastAsia="黑体" w:cs="黑体"/>
          <w:spacing w:val="-2"/>
          <w:sz w:val="32"/>
          <w:szCs w:val="32"/>
        </w:rPr>
        <w:t>部分</w:t>
      </w:r>
      <w:r>
        <w:rPr>
          <w:rFonts w:hint="eastAsia" w:ascii="黑体" w:hAnsi="黑体" w:eastAsia="黑体" w:cs="黑体"/>
          <w:spacing w:val="-2"/>
          <w:sz w:val="32"/>
          <w:szCs w:val="32"/>
          <w:lang w:val="en-US" w:eastAsia="zh-CN"/>
        </w:rPr>
        <w:t>2</w:t>
      </w:r>
      <w:r>
        <w:rPr>
          <w:rFonts w:ascii="黑体" w:hAnsi="黑体" w:eastAsia="黑体" w:cs="黑体"/>
          <w:spacing w:val="-2"/>
          <w:sz w:val="32"/>
          <w:szCs w:val="32"/>
        </w:rPr>
        <w:t>023</w:t>
      </w:r>
      <w:r>
        <w:rPr>
          <w:rFonts w:hint="eastAsia" w:ascii="黑体" w:hAnsi="黑体" w:eastAsia="黑体" w:cs="黑体"/>
          <w:spacing w:val="-2"/>
          <w:sz w:val="32"/>
          <w:szCs w:val="32"/>
          <w:lang w:val="en-US" w:eastAsia="zh-CN"/>
        </w:rPr>
        <w:t>年</w:t>
      </w:r>
      <w:r>
        <w:rPr>
          <w:rFonts w:ascii="黑体" w:hAnsi="黑体" w:eastAsia="黑体" w:cs="黑体"/>
          <w:spacing w:val="-2"/>
          <w:sz w:val="32"/>
          <w:szCs w:val="32"/>
        </w:rPr>
        <w:t>度</w:t>
      </w:r>
      <w:r>
        <w:rPr>
          <w:rFonts w:hint="eastAsia" w:ascii="黑体" w:hAnsi="黑体" w:eastAsia="黑体" w:cs="黑体"/>
          <w:spacing w:val="-2"/>
          <w:sz w:val="32"/>
          <w:szCs w:val="32"/>
          <w:lang w:val="en-US" w:eastAsia="zh-CN"/>
        </w:rPr>
        <w:t>重点工作完成情况</w:t>
      </w:r>
    </w:p>
    <w:p w14:paraId="2A023C2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3" w:line="560" w:lineRule="exact"/>
        <w:ind w:left="397"/>
        <w:jc w:val="both"/>
        <w:textAlignment w:val="baseline"/>
        <w:rPr>
          <w:rFonts w:hint="eastAsia" w:ascii="黑体" w:hAnsi="黑体" w:eastAsia="黑体" w:cs="黑体"/>
          <w:spacing w:val="-2"/>
          <w:sz w:val="32"/>
          <w:szCs w:val="32"/>
          <w:lang w:val="en-US" w:eastAsia="zh-CN"/>
        </w:rPr>
      </w:pPr>
      <w:r>
        <w:rPr>
          <w:rFonts w:ascii="黑体" w:hAnsi="黑体" w:eastAsia="黑体" w:cs="黑体"/>
          <w:spacing w:val="-2"/>
          <w:sz w:val="32"/>
          <w:szCs w:val="32"/>
        </w:rPr>
        <w:t>第</w:t>
      </w:r>
      <w:r>
        <w:rPr>
          <w:rFonts w:hint="eastAsia" w:ascii="黑体" w:hAnsi="黑体" w:eastAsia="黑体" w:cs="黑体"/>
          <w:spacing w:val="-2"/>
          <w:sz w:val="32"/>
          <w:szCs w:val="32"/>
          <w:lang w:val="en-US" w:eastAsia="zh-CN"/>
        </w:rPr>
        <w:t>五</w:t>
      </w:r>
      <w:r>
        <w:rPr>
          <w:rFonts w:ascii="黑体" w:hAnsi="黑体" w:eastAsia="黑体" w:cs="黑体"/>
          <w:spacing w:val="-2"/>
          <w:sz w:val="32"/>
          <w:szCs w:val="32"/>
        </w:rPr>
        <w:t>部分</w:t>
      </w:r>
      <w:r>
        <w:rPr>
          <w:rFonts w:hint="eastAsia" w:ascii="黑体" w:hAnsi="黑体" w:eastAsia="黑体" w:cs="黑体"/>
          <w:spacing w:val="-2"/>
          <w:sz w:val="32"/>
          <w:szCs w:val="32"/>
          <w:lang w:val="en-US" w:eastAsia="zh-CN"/>
        </w:rPr>
        <w:t>名词解释</w:t>
      </w:r>
    </w:p>
    <w:p w14:paraId="12F0E17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3" w:line="560" w:lineRule="exact"/>
        <w:ind w:left="397"/>
        <w:jc w:val="both"/>
        <w:textAlignment w:val="baseline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ascii="黑体" w:hAnsi="黑体" w:eastAsia="黑体" w:cs="黑体"/>
          <w:spacing w:val="-2"/>
          <w:sz w:val="32"/>
          <w:szCs w:val="32"/>
        </w:rPr>
        <w:t>第</w:t>
      </w:r>
      <w:r>
        <w:rPr>
          <w:rFonts w:hint="eastAsia" w:ascii="黑体" w:hAnsi="黑体" w:eastAsia="黑体" w:cs="黑体"/>
          <w:spacing w:val="-2"/>
          <w:sz w:val="32"/>
          <w:szCs w:val="32"/>
          <w:lang w:val="en-US" w:eastAsia="zh-CN"/>
        </w:rPr>
        <w:t>六</w:t>
      </w:r>
      <w:r>
        <w:rPr>
          <w:rFonts w:ascii="黑体" w:hAnsi="黑体" w:eastAsia="黑体" w:cs="黑体"/>
          <w:spacing w:val="-2"/>
          <w:sz w:val="32"/>
          <w:szCs w:val="32"/>
        </w:rPr>
        <w:t>部分</w:t>
      </w:r>
      <w:r>
        <w:rPr>
          <w:rFonts w:hint="eastAsia" w:ascii="黑体" w:hAnsi="黑体" w:eastAsia="黑体" w:cs="黑体"/>
          <w:spacing w:val="-2"/>
          <w:sz w:val="32"/>
          <w:szCs w:val="32"/>
          <w:lang w:val="en-US" w:eastAsia="zh-CN"/>
        </w:rPr>
        <w:t>附件</w:t>
      </w:r>
    </w:p>
    <w:p w14:paraId="2873D04F">
      <w:pPr>
        <w:jc w:val="both"/>
        <w:rPr>
          <w:rFonts w:ascii="Arial" w:hAnsi="Arial" w:eastAsia="Arial" w:cs="Arial"/>
          <w:sz w:val="21"/>
          <w:szCs w:val="21"/>
        </w:rPr>
        <w:sectPr>
          <w:footerReference r:id="rId5" w:type="default"/>
          <w:pgSz w:w="11900" w:h="16840"/>
          <w:pgMar w:top="1431" w:right="1785" w:bottom="1717" w:left="1785" w:header="0" w:footer="1468" w:gutter="0"/>
          <w:cols w:space="720" w:num="1"/>
        </w:sectPr>
      </w:pPr>
    </w:p>
    <w:p w14:paraId="775FAC6C"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3" w:line="560" w:lineRule="exact"/>
        <w:ind w:left="113"/>
        <w:jc w:val="center"/>
        <w:textAlignment w:val="baseline"/>
        <w:rPr>
          <w:rFonts w:hint="eastAsia" w:ascii="黑体" w:hAnsi="黑体" w:eastAsia="黑体" w:cs="黑体"/>
          <w:spacing w:val="-3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pacing w:val="-3"/>
          <w:sz w:val="44"/>
          <w:szCs w:val="44"/>
          <w:lang w:eastAsia="zh-CN"/>
        </w:rPr>
        <w:t>武汉市江岸区消防救援大队</w:t>
      </w:r>
    </w:p>
    <w:p w14:paraId="2ADEC47C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3" w:line="560" w:lineRule="exact"/>
        <w:jc w:val="center"/>
        <w:textAlignment w:val="baseline"/>
        <w:rPr>
          <w:rFonts w:ascii="黑体" w:hAnsi="黑体" w:eastAsia="黑体" w:cs="黑体"/>
          <w:spacing w:val="-3"/>
          <w:sz w:val="44"/>
          <w:szCs w:val="44"/>
        </w:rPr>
      </w:pPr>
      <w:r>
        <w:rPr>
          <w:rFonts w:ascii="黑体" w:hAnsi="黑体" w:eastAsia="黑体" w:cs="黑体"/>
          <w:spacing w:val="-3"/>
          <w:sz w:val="44"/>
          <w:szCs w:val="44"/>
        </w:rPr>
        <w:t>概况</w:t>
      </w:r>
    </w:p>
    <w:p w14:paraId="74076E0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634"/>
        <w:jc w:val="both"/>
        <w:textAlignment w:val="baseline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一、部门主要职责</w:t>
      </w:r>
    </w:p>
    <w:p w14:paraId="050EA2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35" w:line="560" w:lineRule="exact"/>
        <w:ind w:left="30" w:right="78" w:firstLine="648"/>
        <w:jc w:val="both"/>
        <w:textAlignment w:val="auto"/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  <w:t>武汉市江岸区消防救援大队由</w:t>
      </w:r>
      <w:r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val="en-US" w:eastAsia="zh-CN"/>
        </w:rPr>
        <w:t>武汉市救援支队</w:t>
      </w:r>
      <w:r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  <w:t>负责管理，依据有关法律法规履行下列职责：</w:t>
      </w:r>
    </w:p>
    <w:p w14:paraId="340138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35" w:line="560" w:lineRule="exact"/>
        <w:ind w:left="30" w:right="78" w:firstLine="648"/>
        <w:jc w:val="both"/>
        <w:textAlignment w:val="auto"/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  <w:t>1.认真贯彻“预防为主，防消结合”的方针，严格执行国家和地方的各项消防法律法规，负责本地区的消防监督、执勤灭火和队伍的管理教育工作。</w:t>
      </w:r>
    </w:p>
    <w:p w14:paraId="667E0D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35" w:line="560" w:lineRule="exact"/>
        <w:ind w:left="30" w:right="78" w:firstLine="648"/>
        <w:jc w:val="both"/>
        <w:textAlignment w:val="auto"/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  <w:t>2.掌握本地消防工作动态，适时向政府报告工作，负责制定消防建设规划，不断改善公共消防设施条件。</w:t>
      </w:r>
    </w:p>
    <w:p w14:paraId="371B57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35" w:line="560" w:lineRule="exact"/>
        <w:ind w:left="30" w:right="78" w:firstLine="648"/>
        <w:jc w:val="both"/>
        <w:textAlignment w:val="auto"/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  <w:t>3.组织开展消防安全教育和消防安全检查，督促整改火灾隐患。</w:t>
      </w:r>
    </w:p>
    <w:p w14:paraId="2DAC9D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35" w:line="560" w:lineRule="exact"/>
        <w:ind w:left="30" w:right="78" w:firstLine="648"/>
        <w:jc w:val="both"/>
        <w:textAlignment w:val="auto"/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  <w:t>4.指导企业专职消防队、民办消防队和义务消防队的业务建设。</w:t>
      </w:r>
    </w:p>
    <w:p w14:paraId="043497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35" w:line="560" w:lineRule="exact"/>
        <w:ind w:left="30" w:right="78" w:firstLine="648"/>
        <w:jc w:val="both"/>
        <w:textAlignment w:val="auto"/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  <w:t>5.组织重大和一般火灾原因调查，处理火灾事故，负责消防产品监督管理和技术指导工作。</w:t>
      </w:r>
    </w:p>
    <w:p w14:paraId="09236E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35" w:line="560" w:lineRule="exact"/>
        <w:ind w:left="30" w:right="78" w:firstLine="648"/>
        <w:jc w:val="both"/>
        <w:textAlignment w:val="auto"/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  <w:t>6.教育队伍加强执勤战备，掌握消防安全重点单位的情况，指导消防站制定灭火预案，并适时进行演练，随时做好战斗准备，组织火灾扑救。</w:t>
      </w:r>
    </w:p>
    <w:p w14:paraId="2408F6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35" w:line="560" w:lineRule="exact"/>
        <w:ind w:left="30" w:right="78" w:firstLine="648"/>
        <w:jc w:val="both"/>
        <w:textAlignment w:val="auto"/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  <w:t>7.指导队站开展消防体能、技能训练，开展消防战术、技术研究。</w:t>
      </w:r>
    </w:p>
    <w:p w14:paraId="6E1592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35" w:line="560" w:lineRule="exact"/>
        <w:ind w:left="30" w:right="78" w:firstLine="648"/>
        <w:jc w:val="both"/>
        <w:textAlignment w:val="auto"/>
        <w:rPr>
          <w:rFonts w:hint="eastAsia" w:ascii="Times New Roman" w:hAnsi="Times New Roman" w:eastAsia="方正仿宋_GBK" w:cs="Times New Roman"/>
          <w:snapToGrid/>
          <w:kern w:val="2"/>
          <w:sz w:val="32"/>
          <w:szCs w:val="32"/>
          <w:highlight w:val="yellow"/>
          <w:lang w:eastAsia="zh-CN"/>
        </w:rPr>
      </w:pPr>
      <w:r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  <w:t>8.加强队伍的管理教育、负责队伍的思想政治教育；开展消防队站建设，加强江岸区消防救援事业保障能力。</w:t>
      </w:r>
    </w:p>
    <w:p w14:paraId="53FE59C6">
      <w:pPr>
        <w:keepNext w:val="0"/>
        <w:keepLines w:val="0"/>
        <w:pageBreakBefore w:val="0"/>
        <w:wordWrap/>
        <w:overflowPunct/>
        <w:topLinePunct w:val="0"/>
        <w:bidi w:val="0"/>
        <w:spacing w:before="202" w:line="560" w:lineRule="exact"/>
        <w:ind w:left="634"/>
        <w:jc w:val="both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二、机构设置情况</w:t>
      </w:r>
    </w:p>
    <w:p w14:paraId="165EDD2D"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before="133" w:line="560" w:lineRule="exact"/>
        <w:ind w:right="10" w:firstLine="637"/>
        <w:jc w:val="both"/>
        <w:rPr>
          <w:rFonts w:hint="eastAsia" w:ascii="Times New Roman" w:hAnsi="Times New Roman" w:eastAsia="方正仿宋_GBK" w:cs="方正仿宋_GBK"/>
          <w:sz w:val="32"/>
        </w:rPr>
      </w:pPr>
      <w:r>
        <w:rPr>
          <w:rFonts w:hint="eastAsia" w:ascii="Times New Roman" w:hAnsi="Times New Roman" w:eastAsia="方正仿宋_GBK" w:cs="方正仿宋_GBK"/>
          <w:spacing w:val="-6"/>
          <w:sz w:val="32"/>
        </w:rPr>
        <w:t>从单位构成看，</w:t>
      </w:r>
      <w:r>
        <w:rPr>
          <w:rFonts w:hint="eastAsia" w:ascii="Times New Roman" w:hAnsi="Times New Roman" w:eastAsia="方正仿宋_GBK" w:cs="方正仿宋_GBK"/>
          <w:spacing w:val="-6"/>
          <w:sz w:val="32"/>
          <w:u w:val="single" w:color="auto"/>
          <w:lang w:eastAsia="zh-CN"/>
        </w:rPr>
        <w:t>武汉市江岸区消防救援大队</w:t>
      </w:r>
      <w:r>
        <w:rPr>
          <w:rFonts w:hint="eastAsia" w:ascii="Times New Roman" w:hAnsi="Times New Roman" w:eastAsia="方正仿宋_GBK" w:cs="方正仿宋_GBK"/>
          <w:spacing w:val="-6"/>
          <w:sz w:val="32"/>
        </w:rPr>
        <w:t>部门决算由实行独立核算的</w:t>
      </w:r>
      <w:r>
        <w:rPr>
          <w:rFonts w:hint="eastAsia" w:ascii="Times New Roman" w:hAnsi="Times New Roman" w:eastAsia="方正仿宋_GBK" w:cs="方正仿宋_GBK"/>
          <w:spacing w:val="-6"/>
          <w:sz w:val="32"/>
          <w:u w:val="single" w:color="auto"/>
          <w:lang w:eastAsia="zh-CN"/>
        </w:rPr>
        <w:t>武汉市江岸区消防救援大队</w:t>
      </w:r>
      <w:r>
        <w:rPr>
          <w:rFonts w:hint="eastAsia" w:ascii="Times New Roman" w:hAnsi="Times New Roman" w:eastAsia="方正仿宋_GBK" w:cs="方正仿宋_GBK"/>
          <w:spacing w:val="-3"/>
          <w:sz w:val="32"/>
        </w:rPr>
        <w:t>本级决算单位组成。</w:t>
      </w:r>
    </w:p>
    <w:p w14:paraId="73DF5EEA"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before="117" w:line="560" w:lineRule="exact"/>
        <w:ind w:left="12" w:firstLine="629"/>
        <w:jc w:val="both"/>
        <w:rPr>
          <w:rFonts w:hint="eastAsia" w:ascii="Times New Roman" w:hAnsi="Times New Roman" w:eastAsia="方正仿宋_GBK" w:cs="方正仿宋_GBK"/>
          <w:sz w:val="32"/>
        </w:rPr>
      </w:pPr>
      <w:r>
        <w:rPr>
          <w:rFonts w:hint="eastAsia" w:ascii="Times New Roman" w:hAnsi="Times New Roman" w:eastAsia="方正仿宋_GBK" w:cs="方正仿宋_GBK"/>
          <w:spacing w:val="-1"/>
          <w:sz w:val="32"/>
        </w:rPr>
        <w:t>纳入</w:t>
      </w:r>
      <w:r>
        <w:rPr>
          <w:rFonts w:hint="eastAsia" w:ascii="Times New Roman" w:hAnsi="Times New Roman" w:eastAsia="方正仿宋_GBK" w:cs="方正仿宋_GBK"/>
          <w:spacing w:val="-1"/>
          <w:sz w:val="32"/>
          <w:u w:val="single" w:color="auto"/>
          <w:lang w:eastAsia="zh-CN"/>
        </w:rPr>
        <w:t>武汉市江岸区消防救援大队</w:t>
      </w:r>
      <w:r>
        <w:rPr>
          <w:rFonts w:hint="eastAsia" w:ascii="Times New Roman" w:hAnsi="Times New Roman" w:eastAsia="方正仿宋_GBK" w:cs="方正仿宋_GBK"/>
          <w:spacing w:val="-1"/>
          <w:sz w:val="32"/>
          <w:u w:val="none" w:color="auto"/>
          <w:lang w:val="en-US" w:eastAsia="zh-CN"/>
        </w:rPr>
        <w:t>2</w:t>
      </w:r>
      <w:r>
        <w:rPr>
          <w:rFonts w:hint="eastAsia" w:ascii="Times New Roman" w:hAnsi="Times New Roman" w:eastAsia="方正仿宋_GBK" w:cs="方正仿宋_GBK"/>
          <w:spacing w:val="-1"/>
          <w:sz w:val="32"/>
          <w:u w:val="none" w:color="auto"/>
        </w:rPr>
        <w:t>023</w:t>
      </w:r>
      <w:r>
        <w:rPr>
          <w:rFonts w:hint="eastAsia" w:ascii="Times New Roman" w:hAnsi="Times New Roman" w:eastAsia="方正仿宋_GBK" w:cs="方正仿宋_GBK"/>
          <w:spacing w:val="-1"/>
          <w:sz w:val="32"/>
        </w:rPr>
        <w:t>年度部门决算编制范围的二级预算单位</w:t>
      </w:r>
      <w:r>
        <w:rPr>
          <w:rFonts w:hint="eastAsia" w:ascii="Times New Roman" w:hAnsi="Times New Roman" w:eastAsia="方正仿宋_GBK" w:cs="方正仿宋_GBK"/>
          <w:spacing w:val="-11"/>
          <w:sz w:val="32"/>
        </w:rPr>
        <w:t>包括：</w:t>
      </w:r>
    </w:p>
    <w:p w14:paraId="5492AC6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5" w:line="560" w:lineRule="exact"/>
        <w:ind w:left="629" w:right="629" w:firstLine="17"/>
        <w:jc w:val="both"/>
        <w:textAlignment w:val="baseline"/>
        <w:rPr>
          <w:rFonts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仿宋_GBK" w:cs="方正仿宋_GBK"/>
          <w:spacing w:val="-11"/>
          <w:sz w:val="32"/>
        </w:rPr>
        <w:t>1.</w:t>
      </w:r>
      <w:r>
        <w:rPr>
          <w:rFonts w:hint="eastAsia" w:ascii="Times New Roman" w:hAnsi="Times New Roman" w:eastAsia="方正仿宋_GBK" w:cs="方正仿宋_GBK"/>
          <w:spacing w:val="-11"/>
          <w:sz w:val="32"/>
          <w:u w:val="single" w:color="auto"/>
          <w:lang w:eastAsia="zh-CN"/>
        </w:rPr>
        <w:t>武汉市江岸区防救援大队（</w:t>
      </w:r>
      <w:r>
        <w:rPr>
          <w:rFonts w:hint="eastAsia" w:ascii="Times New Roman" w:hAnsi="Times New Roman" w:eastAsia="方正仿宋_GBK" w:cs="方正仿宋_GBK"/>
          <w:spacing w:val="-11"/>
          <w:sz w:val="32"/>
          <w:u w:val="single" w:color="auto"/>
        </w:rPr>
        <w:t>本级</w:t>
      </w:r>
      <w:r>
        <w:rPr>
          <w:rFonts w:hint="eastAsia" w:ascii="Times New Roman" w:hAnsi="Times New Roman" w:eastAsia="方正仿宋_GBK" w:cs="方正仿宋_GBK"/>
          <w:spacing w:val="-11"/>
          <w:sz w:val="32"/>
          <w:u w:val="single" w:color="auto"/>
          <w:lang w:eastAsia="zh-CN"/>
        </w:rPr>
        <w:t>）</w:t>
      </w:r>
    </w:p>
    <w:p w14:paraId="4BF1AEE9">
      <w:pPr>
        <w:pStyle w:val="2"/>
        <w:spacing w:before="200" w:line="220" w:lineRule="auto"/>
        <w:jc w:val="both"/>
        <w:sectPr>
          <w:footerReference r:id="rId6" w:type="default"/>
          <w:pgSz w:w="11900" w:h="16840"/>
          <w:pgMar w:top="1431" w:right="1785" w:bottom="1717" w:left="1785" w:header="0" w:footer="1468" w:gutter="0"/>
          <w:cols w:space="720" w:num="1"/>
        </w:sectPr>
      </w:pPr>
    </w:p>
    <w:p w14:paraId="3BD2D163">
      <w:pPr>
        <w:spacing w:before="143" w:line="222" w:lineRule="auto"/>
        <w:ind w:left="113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ascii="黑体" w:hAnsi="黑体" w:eastAsia="黑体" w:cs="黑体"/>
          <w:spacing w:val="-3"/>
          <w:sz w:val="44"/>
          <w:szCs w:val="44"/>
        </w:rPr>
        <w:t>第二部分</w:t>
      </w:r>
      <w:r>
        <w:rPr>
          <w:rFonts w:hint="eastAsia" w:ascii="黑体" w:hAnsi="黑体" w:eastAsia="黑体" w:cs="黑体"/>
          <w:spacing w:val="-3"/>
          <w:sz w:val="44"/>
          <w:szCs w:val="44"/>
          <w:u w:val="single"/>
          <w:lang w:val="en-US" w:eastAsia="zh-CN"/>
        </w:rPr>
        <w:t>武</w:t>
      </w:r>
      <w:r>
        <w:rPr>
          <w:rFonts w:hint="eastAsia" w:ascii="黑体" w:hAnsi="黑体" w:eastAsia="黑体" w:cs="黑体"/>
          <w:spacing w:val="-3"/>
          <w:sz w:val="44"/>
          <w:szCs w:val="44"/>
          <w:u w:val="single"/>
          <w:lang w:eastAsia="zh-CN"/>
        </w:rPr>
        <w:t>汉市江岸区消防救援大队</w:t>
      </w:r>
      <w:r>
        <w:rPr>
          <w:rFonts w:ascii="黑体" w:hAnsi="黑体" w:eastAsia="黑体" w:cs="黑体"/>
          <w:spacing w:val="-3"/>
          <w:sz w:val="44"/>
          <w:szCs w:val="44"/>
        </w:rPr>
        <w:t>2023</w:t>
      </w:r>
      <w:r>
        <w:rPr>
          <w:rFonts w:hint="eastAsia" w:ascii="黑体" w:hAnsi="黑体" w:eastAsia="黑体" w:cs="黑体"/>
          <w:spacing w:val="-3"/>
          <w:sz w:val="44"/>
          <w:szCs w:val="44"/>
          <w:lang w:val="en-US" w:eastAsia="zh-CN"/>
        </w:rPr>
        <w:t>年</w:t>
      </w:r>
      <w:r>
        <w:rPr>
          <w:rFonts w:ascii="黑体" w:hAnsi="黑体" w:eastAsia="黑体" w:cs="黑体"/>
          <w:spacing w:val="-3"/>
          <w:sz w:val="44"/>
          <w:szCs w:val="44"/>
        </w:rPr>
        <w:t>度部门决算表</w:t>
      </w:r>
    </w:p>
    <w:p w14:paraId="569CA9D2">
      <w:pPr>
        <w:spacing w:line="222" w:lineRule="auto"/>
        <w:jc w:val="both"/>
        <w:rPr>
          <w:rFonts w:ascii="黑体" w:hAnsi="黑体" w:eastAsia="黑体" w:cs="黑体"/>
          <w:sz w:val="44"/>
          <w:szCs w:val="44"/>
        </w:rPr>
      </w:pPr>
    </w:p>
    <w:p w14:paraId="528D54FF">
      <w:pPr>
        <w:spacing w:line="222" w:lineRule="auto"/>
        <w:jc w:val="both"/>
      </w:pPr>
      <w:r>
        <w:drawing>
          <wp:inline distT="0" distB="0" distL="114300" distR="114300">
            <wp:extent cx="5549265" cy="4046855"/>
            <wp:effectExtent l="0" t="0" r="1333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430AC">
      <w:pPr>
        <w:spacing w:line="222" w:lineRule="auto"/>
        <w:jc w:val="both"/>
      </w:pPr>
    </w:p>
    <w:p w14:paraId="2EEEF080">
      <w:pPr>
        <w:spacing w:line="222" w:lineRule="auto"/>
        <w:jc w:val="both"/>
      </w:pPr>
    </w:p>
    <w:p w14:paraId="18A4D492">
      <w:pPr>
        <w:spacing w:line="222" w:lineRule="auto"/>
        <w:jc w:val="both"/>
      </w:pPr>
    </w:p>
    <w:p w14:paraId="2109AD19">
      <w:pPr>
        <w:spacing w:line="222" w:lineRule="auto"/>
        <w:jc w:val="both"/>
      </w:pPr>
      <w:r>
        <w:drawing>
          <wp:inline distT="0" distB="0" distL="114300" distR="114300">
            <wp:extent cx="5425440" cy="2928620"/>
            <wp:effectExtent l="0" t="0" r="381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E17F4">
      <w:pPr>
        <w:spacing w:line="222" w:lineRule="auto"/>
        <w:jc w:val="both"/>
      </w:pPr>
      <w:r>
        <w:drawing>
          <wp:inline distT="0" distB="0" distL="114300" distR="114300">
            <wp:extent cx="5723255" cy="3442970"/>
            <wp:effectExtent l="0" t="0" r="10795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235AD">
      <w:pPr>
        <w:spacing w:line="222" w:lineRule="auto"/>
        <w:jc w:val="both"/>
      </w:pPr>
    </w:p>
    <w:p w14:paraId="512BA4F3">
      <w:pPr>
        <w:spacing w:line="222" w:lineRule="auto"/>
        <w:jc w:val="both"/>
      </w:pPr>
    </w:p>
    <w:p w14:paraId="32B1CE21">
      <w:pPr>
        <w:spacing w:line="222" w:lineRule="auto"/>
        <w:jc w:val="both"/>
      </w:pPr>
      <w:r>
        <w:drawing>
          <wp:inline distT="0" distB="0" distL="114300" distR="114300">
            <wp:extent cx="5715635" cy="3707765"/>
            <wp:effectExtent l="0" t="0" r="18415" b="698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13CED">
      <w:pPr>
        <w:spacing w:line="222" w:lineRule="auto"/>
        <w:jc w:val="both"/>
      </w:pPr>
    </w:p>
    <w:p w14:paraId="3301C3E5">
      <w:pPr>
        <w:spacing w:line="222" w:lineRule="auto"/>
        <w:jc w:val="both"/>
      </w:pPr>
    </w:p>
    <w:p w14:paraId="0BD598D8">
      <w:pPr>
        <w:spacing w:line="222" w:lineRule="auto"/>
        <w:jc w:val="both"/>
      </w:pPr>
      <w:r>
        <w:drawing>
          <wp:inline distT="0" distB="0" distL="114300" distR="114300">
            <wp:extent cx="5548630" cy="4486275"/>
            <wp:effectExtent l="0" t="0" r="13970" b="952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3AC78">
      <w:pPr>
        <w:spacing w:line="222" w:lineRule="auto"/>
        <w:jc w:val="both"/>
      </w:pPr>
    </w:p>
    <w:p w14:paraId="6A517A1E">
      <w:pPr>
        <w:spacing w:line="222" w:lineRule="auto"/>
        <w:jc w:val="both"/>
      </w:pPr>
    </w:p>
    <w:p w14:paraId="54CD59AA">
      <w:pPr>
        <w:spacing w:line="222" w:lineRule="auto"/>
        <w:jc w:val="both"/>
      </w:pPr>
      <w:r>
        <w:drawing>
          <wp:inline distT="0" distB="0" distL="114300" distR="114300">
            <wp:extent cx="5433695" cy="2654300"/>
            <wp:effectExtent l="0" t="0" r="14605" b="1270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9EBAD">
      <w:pPr>
        <w:spacing w:line="222" w:lineRule="auto"/>
        <w:jc w:val="both"/>
      </w:pPr>
    </w:p>
    <w:p w14:paraId="0E0D74B9">
      <w:pPr>
        <w:spacing w:line="222" w:lineRule="auto"/>
        <w:jc w:val="both"/>
      </w:pPr>
    </w:p>
    <w:p w14:paraId="49DBD5A2">
      <w:pPr>
        <w:spacing w:line="222" w:lineRule="auto"/>
        <w:jc w:val="both"/>
      </w:pPr>
      <w:r>
        <w:drawing>
          <wp:inline distT="0" distB="0" distL="114300" distR="114300">
            <wp:extent cx="5443855" cy="1524000"/>
            <wp:effectExtent l="0" t="0" r="4445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A1606">
      <w:pPr>
        <w:spacing w:line="222" w:lineRule="auto"/>
        <w:jc w:val="both"/>
      </w:pPr>
    </w:p>
    <w:p w14:paraId="537BDA11">
      <w:pPr>
        <w:spacing w:line="222" w:lineRule="auto"/>
        <w:jc w:val="both"/>
      </w:pPr>
    </w:p>
    <w:p w14:paraId="4777052D">
      <w:pPr>
        <w:spacing w:line="222" w:lineRule="auto"/>
        <w:jc w:val="both"/>
      </w:pPr>
    </w:p>
    <w:p w14:paraId="1FA446D8">
      <w:pPr>
        <w:spacing w:line="222" w:lineRule="auto"/>
        <w:jc w:val="both"/>
      </w:pPr>
      <w:r>
        <w:drawing>
          <wp:inline distT="0" distB="0" distL="114300" distR="114300">
            <wp:extent cx="5581015" cy="2353310"/>
            <wp:effectExtent l="0" t="0" r="635" b="889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711AF">
      <w:pPr>
        <w:spacing w:line="222" w:lineRule="auto"/>
        <w:jc w:val="both"/>
      </w:pPr>
    </w:p>
    <w:p w14:paraId="32FFC952">
      <w:pPr>
        <w:spacing w:line="222" w:lineRule="auto"/>
        <w:jc w:val="both"/>
      </w:pPr>
    </w:p>
    <w:p w14:paraId="5AF1F775">
      <w:pPr>
        <w:spacing w:line="222" w:lineRule="auto"/>
        <w:jc w:val="both"/>
      </w:pPr>
    </w:p>
    <w:p w14:paraId="79338345">
      <w:pPr>
        <w:spacing w:line="222" w:lineRule="auto"/>
        <w:jc w:val="both"/>
      </w:pPr>
    </w:p>
    <w:p w14:paraId="61459BD7">
      <w:pPr>
        <w:spacing w:line="222" w:lineRule="auto"/>
        <w:jc w:val="both"/>
        <w:sectPr>
          <w:footerReference r:id="rId7" w:type="default"/>
          <w:pgSz w:w="11900" w:h="16840"/>
          <w:pgMar w:top="1431" w:right="1785" w:bottom="1717" w:left="1785" w:header="0" w:footer="1467" w:gutter="0"/>
          <w:cols w:space="720" w:num="1"/>
        </w:sectPr>
      </w:pPr>
      <w:r>
        <w:drawing>
          <wp:inline distT="0" distB="0" distL="114300" distR="114300">
            <wp:extent cx="5654675" cy="1025525"/>
            <wp:effectExtent l="0" t="0" r="3175" b="317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5E16E">
      <w:pPr>
        <w:spacing w:before="143" w:line="222" w:lineRule="auto"/>
        <w:ind w:left="113"/>
        <w:jc w:val="center"/>
        <w:rPr>
          <w:rFonts w:ascii="黑体" w:hAnsi="黑体" w:eastAsia="黑体" w:cs="黑体"/>
          <w:spacing w:val="-3"/>
          <w:sz w:val="44"/>
          <w:szCs w:val="44"/>
        </w:rPr>
      </w:pPr>
      <w:r>
        <w:rPr>
          <w:rFonts w:ascii="黑体" w:hAnsi="黑体" w:eastAsia="黑体" w:cs="黑体"/>
          <w:spacing w:val="-3"/>
          <w:sz w:val="44"/>
          <w:szCs w:val="44"/>
        </w:rPr>
        <w:t>第三部分</w:t>
      </w:r>
      <w:r>
        <w:rPr>
          <w:rFonts w:hint="eastAsia" w:ascii="黑体" w:hAnsi="黑体" w:eastAsia="黑体" w:cs="黑体"/>
          <w:spacing w:val="-3"/>
          <w:sz w:val="44"/>
          <w:szCs w:val="44"/>
          <w:u w:val="single"/>
          <w:lang w:eastAsia="zh-CN"/>
        </w:rPr>
        <w:t>武汉市江岸区消防救援大队</w:t>
      </w:r>
      <w:r>
        <w:rPr>
          <w:rFonts w:ascii="黑体" w:hAnsi="黑体" w:eastAsia="黑体" w:cs="黑体"/>
          <w:spacing w:val="-3"/>
          <w:sz w:val="44"/>
          <w:szCs w:val="44"/>
        </w:rPr>
        <w:t>2023年度部门决算情况说明</w:t>
      </w:r>
    </w:p>
    <w:p w14:paraId="38AAA11F">
      <w:pPr>
        <w:jc w:val="both"/>
      </w:pPr>
    </w:p>
    <w:p w14:paraId="0B5DE47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643"/>
        <w:jc w:val="both"/>
        <w:textAlignment w:val="baseline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一、收入支出决算总体情况说明</w:t>
      </w:r>
    </w:p>
    <w:p w14:paraId="0DB764B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20" w:firstLineChars="200"/>
        <w:jc w:val="both"/>
        <w:textAlignment w:val="baseline"/>
        <w:rPr>
          <w:rFonts w:hint="eastAsia" w:ascii="Times New Roman" w:hAnsi="Times New Roman" w:eastAsia="方正仿宋_GBK" w:cs="方正仿宋_GBK"/>
          <w:spacing w:val="-14"/>
          <w:sz w:val="32"/>
        </w:rPr>
      </w:pPr>
      <w:r>
        <w:rPr>
          <w:rFonts w:hint="eastAsia" w:ascii="Times New Roman" w:hAnsi="Times New Roman" w:eastAsia="方正仿宋_GBK" w:cs="方正仿宋_GBK"/>
          <w:spacing w:val="-5"/>
          <w:sz w:val="32"/>
        </w:rPr>
        <w:t>2023年度收、支总计</w:t>
      </w:r>
      <w:r>
        <w:rPr>
          <w:rFonts w:hint="eastAsia" w:ascii="Times New Roman" w:hAnsi="Times New Roman" w:eastAsia="方正仿宋_GBK" w:cs="方正仿宋_GBK"/>
          <w:spacing w:val="-5"/>
          <w:sz w:val="32"/>
          <w:u w:val="single" w:color="auto"/>
        </w:rPr>
        <w:t>4,727.16</w:t>
      </w:r>
      <w:r>
        <w:rPr>
          <w:rFonts w:hint="eastAsia" w:ascii="Times New Roman" w:hAnsi="Times New Roman" w:eastAsia="方正仿宋_GBK" w:cs="方正仿宋_GBK"/>
          <w:spacing w:val="-5"/>
          <w:sz w:val="32"/>
          <w:u w:val="none" w:color="auto"/>
          <w:lang w:val="en-US" w:eastAsia="zh-CN"/>
        </w:rPr>
        <w:t>万</w:t>
      </w:r>
      <w:r>
        <w:rPr>
          <w:rFonts w:hint="eastAsia" w:ascii="Times New Roman" w:hAnsi="Times New Roman" w:eastAsia="方正仿宋_GBK" w:cs="方正仿宋_GBK"/>
          <w:spacing w:val="-5"/>
          <w:sz w:val="32"/>
          <w:u w:val="none" w:color="auto"/>
        </w:rPr>
        <w:t>元</w:t>
      </w:r>
      <w:r>
        <w:rPr>
          <w:rFonts w:hint="eastAsia" w:ascii="Times New Roman" w:hAnsi="Times New Roman" w:eastAsia="方正仿宋_GBK" w:cs="方正仿宋_GBK"/>
          <w:spacing w:val="-5"/>
          <w:sz w:val="32"/>
        </w:rPr>
        <w:t>。与2022年度相比，收</w:t>
      </w:r>
      <w:r>
        <w:rPr>
          <w:rFonts w:hint="eastAsia" w:ascii="Times New Roman" w:hAnsi="Times New Roman" w:eastAsia="方正仿宋_GBK" w:cs="方正仿宋_GBK"/>
          <w:spacing w:val="-5"/>
          <w:sz w:val="32"/>
          <w:lang w:eastAsia="zh-CN"/>
        </w:rPr>
        <w:t>、</w:t>
      </w:r>
      <w:r>
        <w:rPr>
          <w:rFonts w:hint="eastAsia" w:ascii="Times New Roman" w:hAnsi="Times New Roman" w:eastAsia="方正仿宋_GBK" w:cs="方正仿宋_GBK"/>
          <w:spacing w:val="-1"/>
          <w:sz w:val="32"/>
        </w:rPr>
        <w:t>支总计各增加</w:t>
      </w:r>
      <w:r>
        <w:rPr>
          <w:rFonts w:hint="eastAsia" w:ascii="Times New Roman" w:hAnsi="Times New Roman" w:eastAsia="方正仿宋_GBK" w:cs="方正仿宋_GBK"/>
          <w:spacing w:val="-1"/>
          <w:sz w:val="32"/>
          <w:u w:val="single" w:color="auto"/>
          <w:lang w:val="en-US" w:eastAsia="zh-CN"/>
        </w:rPr>
        <w:t>553.28</w:t>
      </w:r>
      <w:r>
        <w:rPr>
          <w:rFonts w:hint="eastAsia" w:ascii="Times New Roman" w:hAnsi="Times New Roman" w:eastAsia="方正仿宋_GBK" w:cs="方正仿宋_GBK"/>
          <w:spacing w:val="-1"/>
          <w:sz w:val="32"/>
        </w:rPr>
        <w:t>万元，增长</w:t>
      </w:r>
      <w:r>
        <w:rPr>
          <w:rFonts w:hint="eastAsia" w:ascii="Times New Roman" w:hAnsi="Times New Roman" w:eastAsia="方正仿宋_GBK" w:cs="方正仿宋_GBK"/>
          <w:sz w:val="32"/>
          <w:u w:val="single" w:color="auto"/>
          <w:lang w:val="en-US" w:eastAsia="zh-CN"/>
        </w:rPr>
        <w:t>13.26</w:t>
      </w:r>
      <w:r>
        <w:rPr>
          <w:rFonts w:hint="eastAsia" w:ascii="Times New Roman" w:hAnsi="Times New Roman" w:eastAsia="方正仿宋_GBK" w:cs="方正仿宋_GBK"/>
          <w:spacing w:val="-1"/>
          <w:sz w:val="32"/>
        </w:rPr>
        <w:t>%，主要原因是地方财政加大了对江岸区消防事业的经费投入，保障了消防救援干部、消防员、专职消防员及文员的人员经费</w:t>
      </w:r>
      <w:r>
        <w:rPr>
          <w:rFonts w:hint="eastAsia" w:ascii="Times New Roman" w:hAnsi="Times New Roman" w:eastAsia="方正仿宋_GBK" w:cs="方正仿宋_GBK"/>
          <w:spacing w:val="-14"/>
          <w:sz w:val="32"/>
        </w:rPr>
        <w:t>。</w:t>
      </w:r>
    </w:p>
    <w:p w14:paraId="5FD7638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84" w:firstLineChars="200"/>
        <w:jc w:val="both"/>
        <w:textAlignment w:val="baseline"/>
        <w:rPr>
          <w:rFonts w:hint="eastAsia" w:ascii="Times New Roman" w:hAnsi="Times New Roman" w:eastAsia="方正仿宋_GBK" w:cs="方正仿宋_GBK"/>
          <w:spacing w:val="-14"/>
          <w:sz w:val="32"/>
        </w:rPr>
      </w:pPr>
    </w:p>
    <w:p w14:paraId="4205740B">
      <w:pPr>
        <w:jc w:val="center"/>
      </w:pPr>
      <w:r>
        <w:drawing>
          <wp:inline distT="0" distB="0" distL="114300" distR="114300">
            <wp:extent cx="3874770" cy="2454910"/>
            <wp:effectExtent l="4445" t="4445" r="6985" b="17145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2628F3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420" w:firstLineChars="200"/>
        <w:jc w:val="both"/>
        <w:textAlignment w:val="baseline"/>
      </w:pPr>
    </w:p>
    <w:p w14:paraId="6107D81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94" w:line="560" w:lineRule="exact"/>
        <w:ind w:firstLine="632" w:firstLineChars="200"/>
        <w:jc w:val="both"/>
        <w:textAlignment w:val="baseline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二、收入决算情况说明</w:t>
      </w:r>
    </w:p>
    <w:p w14:paraId="6B44979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firstLine="628" w:firstLineChars="200"/>
        <w:jc w:val="both"/>
        <w:textAlignment w:val="baseline"/>
        <w:rPr>
          <w:rFonts w:hint="eastAsia"/>
          <w:spacing w:val="-5"/>
          <w:u w:val="none"/>
          <w:lang w:val="en-US" w:eastAsia="zh-CN"/>
        </w:rPr>
      </w:pP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2023年度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eastAsia="zh-CN"/>
        </w:rPr>
        <w:t>收入合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计4,727.16万元。与2022年度相比，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eastAsia="zh-CN"/>
        </w:rPr>
        <w:t>收入合计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增加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553.28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万元，增长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13.26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%，主要原因是专职消防员、干部及国家队消防员部分人员经费由区级财政负担，人员经费保障增加；新建塔子湖消防站项目开展。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eastAsia="zh-CN"/>
        </w:rPr>
        <w:t>其中：财政拨款收入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4,727.16万元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eastAsia="zh-CN"/>
        </w:rPr>
        <w:t>，占本年收入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100.00%；上级补助收入0万元，占本年收入0%；事业收入0万元，占本年收入0%；经营收入0万元，占本年收入0%；其他收入0万元，占本年收入0%。</w:t>
      </w:r>
    </w:p>
    <w:p w14:paraId="40A6A578">
      <w:pPr>
        <w:pStyle w:val="2"/>
        <w:spacing w:before="215" w:line="337" w:lineRule="auto"/>
        <w:ind w:left="7" w:right="84" w:firstLine="643"/>
        <w:jc w:val="both"/>
        <w:rPr>
          <w:rFonts w:hint="eastAsia"/>
          <w:spacing w:val="-5"/>
          <w:u w:val="none"/>
          <w:lang w:val="en-US" w:eastAsia="zh-CN"/>
        </w:rPr>
      </w:pPr>
      <w:r>
        <w:drawing>
          <wp:inline distT="0" distB="0" distL="114300" distR="114300">
            <wp:extent cx="3865880" cy="2101850"/>
            <wp:effectExtent l="5080" t="4445" r="15240" b="8255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E415B7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642"/>
        <w:jc w:val="both"/>
        <w:textAlignment w:val="baseline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三、支出决算情况说明</w:t>
      </w:r>
    </w:p>
    <w:p w14:paraId="51A1EEA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7" w:line="560" w:lineRule="exact"/>
        <w:ind w:firstLine="628" w:firstLineChars="200"/>
        <w:jc w:val="both"/>
        <w:textAlignment w:val="baseline"/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</w:pP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2023年度支出合计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4,727.16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万元，与2022年度相比，支出合计增加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553.28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万元，增长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13.26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%，主要原因是专职消防员、干部及国家队消防员部分人员经费由区级财政负担。其中：基本支出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964.26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万元，占本年支出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20.40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%；项目支出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3,762.9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万元，占本年支出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79.60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%；上缴上级支出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0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万元，占本年支出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0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%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eastAsia="zh-CN"/>
        </w:rPr>
        <w:t>；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经营支出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0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万元，占本年支出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0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%。</w:t>
      </w:r>
    </w:p>
    <w:p w14:paraId="0F551FD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0" w:line="341" w:lineRule="auto"/>
        <w:ind w:left="0" w:firstLine="641"/>
        <w:jc w:val="both"/>
        <w:textAlignment w:val="baseline"/>
        <w:rPr>
          <w:spacing w:val="-6"/>
          <w:highlight w:val="none"/>
        </w:rPr>
      </w:pPr>
      <w:r>
        <w:drawing>
          <wp:inline distT="0" distB="0" distL="114300" distR="114300">
            <wp:extent cx="3917315" cy="2345055"/>
            <wp:effectExtent l="4445" t="4445" r="21590" b="12700"/>
            <wp:docPr id="4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E775B5F"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658"/>
        <w:jc w:val="both"/>
        <w:textAlignment w:val="baseline"/>
        <w:rPr>
          <w:rFonts w:ascii="黑体" w:hAnsi="黑体" w:eastAsia="黑体" w:cs="黑体"/>
          <w:spacing w:val="-2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财政拨款收入支出决算总体情况说明</w:t>
      </w:r>
    </w:p>
    <w:p w14:paraId="14E2B198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firstLine="628" w:firstLineChars="200"/>
        <w:jc w:val="both"/>
        <w:textAlignment w:val="baseline"/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</w:pP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2023年度财政拨款收、支总计4,727.16万元。与2022年度相比，财政拨款收、支总计各增加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553.28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万元，增长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13.26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%。主要原因是地方财政加大了对江岸区消防事业的经费投入，保障了消防救援干部、消防员、专职消防员及文员的人员经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费。</w:t>
      </w:r>
    </w:p>
    <w:p w14:paraId="115A82F5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firstLine="628" w:firstLineChars="200"/>
        <w:jc w:val="both"/>
        <w:textAlignment w:val="baseline"/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</w:pP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2023年度财政拨款收入中，一般公共预算财政拨款收入万元，比2022年度决算数增加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553.28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万元。增加主要原因是专职消防员、干部及国家队消防员部分人员经费由区级财政负担，人员经费保障增加；新建塔子湖消防站项目开展。政府性基金预算财政拨款收入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0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万元，比2022年度决算数增加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0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万元。国有资本经营预算财政拨款收入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0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万元，比2022年度决算数增加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0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万元。</w:t>
      </w:r>
    </w:p>
    <w:p w14:paraId="7684DAAE"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658" w:leftChars="0" w:firstLine="0" w:firstLineChars="0"/>
        <w:jc w:val="both"/>
        <w:textAlignment w:val="baseline"/>
        <w:outlineLvl w:val="0"/>
        <w:rPr>
          <w:rFonts w:ascii="Times New Roman" w:hAnsi="Times New Roman" w:eastAsia="黑体" w:cs="黑体"/>
          <w:spacing w:val="-1"/>
          <w:sz w:val="32"/>
          <w:szCs w:val="32"/>
        </w:rPr>
      </w:pPr>
      <w:r>
        <w:rPr>
          <w:rFonts w:ascii="Times New Roman" w:hAnsi="Times New Roman" w:eastAsia="黑体" w:cs="黑体"/>
          <w:spacing w:val="-1"/>
          <w:sz w:val="32"/>
          <w:szCs w:val="32"/>
        </w:rPr>
        <w:t>一般公共预算财政拨款支出决算情况说明</w:t>
      </w:r>
    </w:p>
    <w:p w14:paraId="49D70ED7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firstLine="631" w:firstLineChars="200"/>
        <w:jc w:val="both"/>
        <w:textAlignment w:val="baseline"/>
        <w:outlineLvl w:val="0"/>
        <w:rPr>
          <w:rFonts w:ascii="Times New Roman" w:hAnsi="Times New Roman" w:eastAsia="方正仿宋_GBK" w:cs="楷体"/>
          <w:sz w:val="32"/>
          <w:szCs w:val="32"/>
          <w:shd w:val="clear" w:color="auto" w:fill="auto"/>
        </w:rPr>
      </w:pPr>
      <w:r>
        <w:rPr>
          <w:rFonts w:hint="eastAsia" w:ascii="Times New Roman" w:hAnsi="Times New Roman" w:eastAsia="方正仿宋_GBK" w:cs="楷体"/>
          <w:b/>
          <w:bCs/>
          <w:spacing w:val="-3"/>
          <w:sz w:val="32"/>
          <w:szCs w:val="32"/>
          <w:shd w:val="clear" w:color="auto" w:fill="auto"/>
          <w:lang w:val="en-US" w:eastAsia="zh-CN"/>
        </w:rPr>
        <w:t>（一）</w:t>
      </w:r>
      <w:r>
        <w:rPr>
          <w:rFonts w:hint="eastAsia" w:ascii="Times New Roman" w:hAnsi="Times New Roman" w:eastAsia="方正仿宋_GBK" w:cs="楷体"/>
          <w:b/>
          <w:bCs/>
          <w:spacing w:val="-3"/>
          <w:sz w:val="32"/>
          <w:szCs w:val="32"/>
          <w:shd w:val="clear" w:color="auto" w:fill="auto"/>
          <w:lang w:val="en-US" w:eastAsia="en-US"/>
        </w:rPr>
        <w:t>一</w:t>
      </w:r>
      <w:r>
        <w:rPr>
          <w:rFonts w:hint="eastAsia" w:ascii="Times New Roman" w:hAnsi="Times New Roman" w:eastAsia="方正仿宋_GBK" w:cs="方正仿宋_GBK"/>
          <w:b/>
          <w:bCs/>
          <w:snapToGrid w:val="0"/>
          <w:color w:val="000000"/>
          <w:spacing w:val="-5"/>
          <w:kern w:val="0"/>
          <w:sz w:val="32"/>
          <w:szCs w:val="32"/>
          <w:highlight w:val="none"/>
          <w:shd w:val="clear" w:color="auto" w:fill="auto"/>
          <w:lang w:val="en-US" w:eastAsia="en-US" w:bidi="ar-SA"/>
        </w:rPr>
        <w:t>般公共预算财政拨款支出决算总体情况</w:t>
      </w:r>
    </w:p>
    <w:p w14:paraId="7AC89D9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7" w:line="560" w:lineRule="exact"/>
        <w:ind w:firstLine="628" w:firstLineChars="200"/>
        <w:jc w:val="both"/>
        <w:textAlignment w:val="baseline"/>
        <w:rPr>
          <w:rFonts w:hint="default" w:ascii="Times New Roman" w:hAnsi="Times New Roman" w:eastAsia="方正仿宋_GBK"/>
          <w:sz w:val="32"/>
          <w:shd w:val="clear" w:color="auto" w:fill="auto"/>
          <w:lang w:val="en-US"/>
        </w:rPr>
      </w:pP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2023年度一般公共预算财政拨款支出</w:t>
      </w:r>
      <w:r>
        <w:rPr>
          <w:rFonts w:hint="eastAsia" w:ascii="Times New Roman" w:hAnsi="Times New Roman" w:eastAsia="方正仿宋_GBK" w:cs="方正仿宋_GBK"/>
          <w:spacing w:val="4"/>
          <w:sz w:val="32"/>
          <w:highlight w:val="none"/>
          <w:u w:val="single" w:color="auto"/>
          <w:shd w:val="clear" w:color="auto" w:fill="auto"/>
        </w:rPr>
        <w:t>4,727.16</w:t>
      </w:r>
      <w:r>
        <w:rPr>
          <w:rFonts w:hint="eastAsia" w:ascii="Times New Roman" w:hAnsi="Times New Roman" w:eastAsia="方正仿宋_GBK" w:cs="方正仿宋_GBK"/>
          <w:spacing w:val="-4"/>
          <w:sz w:val="32"/>
          <w:shd w:val="clear" w:color="auto" w:fill="auto"/>
        </w:rPr>
        <w:t>万元，占</w:t>
      </w:r>
      <w:r>
        <w:rPr>
          <w:rFonts w:hint="eastAsia" w:ascii="Times New Roman" w:hAnsi="Times New Roman" w:eastAsia="方正仿宋_GBK" w:cs="方正仿宋_GBK"/>
          <w:spacing w:val="-5"/>
          <w:sz w:val="32"/>
          <w:shd w:val="clear" w:color="auto" w:fill="auto"/>
        </w:rPr>
        <w:t>本年支出合计的</w:t>
      </w:r>
      <w:r>
        <w:rPr>
          <w:rFonts w:hint="eastAsia" w:ascii="Times New Roman" w:hAnsi="Times New Roman" w:eastAsia="方正仿宋_GBK" w:cs="方正仿宋_GBK"/>
          <w:spacing w:val="-5"/>
          <w:sz w:val="32"/>
          <w:u w:val="single" w:color="auto"/>
          <w:shd w:val="clear" w:color="auto" w:fill="auto"/>
          <w:lang w:val="en-US" w:eastAsia="zh-CN"/>
        </w:rPr>
        <w:t>100.00</w:t>
      </w:r>
      <w:r>
        <w:rPr>
          <w:rFonts w:hint="eastAsia" w:ascii="Times New Roman" w:hAnsi="Times New Roman" w:eastAsia="方正仿宋_GBK" w:cs="方正仿宋_GBK"/>
          <w:spacing w:val="-5"/>
          <w:sz w:val="32"/>
          <w:shd w:val="clear" w:color="auto" w:fill="auto"/>
        </w:rPr>
        <w:t>%。与2022年度相比，一般公共预算财政</w:t>
      </w:r>
      <w:r>
        <w:rPr>
          <w:rFonts w:hint="eastAsia" w:ascii="Times New Roman" w:hAnsi="Times New Roman" w:eastAsia="方正仿宋_GBK" w:cs="方正仿宋_GBK"/>
          <w:spacing w:val="-4"/>
          <w:sz w:val="32"/>
          <w:shd w:val="clear" w:color="auto" w:fill="auto"/>
        </w:rPr>
        <w:t>拨款支出增加</w:t>
      </w:r>
      <w:r>
        <w:rPr>
          <w:rFonts w:hint="eastAsia" w:ascii="Times New Roman" w:hAnsi="Times New Roman" w:eastAsia="方正仿宋_GBK" w:cs="方正仿宋_GBK"/>
          <w:sz w:val="32"/>
          <w:highlight w:val="none"/>
          <w:u w:val="single" w:color="auto"/>
          <w:shd w:val="clear" w:color="auto" w:fill="auto"/>
          <w:lang w:val="en-US" w:eastAsia="zh-CN"/>
        </w:rPr>
        <w:t>553.28</w:t>
      </w:r>
      <w:r>
        <w:rPr>
          <w:rFonts w:hint="eastAsia" w:ascii="Times New Roman" w:hAnsi="Times New Roman" w:eastAsia="方正仿宋_GBK" w:cs="方正仿宋_GBK"/>
          <w:spacing w:val="-4"/>
          <w:sz w:val="32"/>
          <w:shd w:val="clear" w:color="auto" w:fill="auto"/>
        </w:rPr>
        <w:t>万元，增长</w:t>
      </w:r>
      <w:r>
        <w:rPr>
          <w:rFonts w:hint="eastAsia" w:ascii="Times New Roman" w:hAnsi="Times New Roman" w:eastAsia="方正仿宋_GBK" w:cs="方正仿宋_GBK"/>
          <w:spacing w:val="-4"/>
          <w:sz w:val="32"/>
          <w:u w:val="single" w:color="auto"/>
          <w:shd w:val="clear" w:color="auto" w:fill="auto"/>
          <w:lang w:val="en-US" w:eastAsia="zh-CN"/>
        </w:rPr>
        <w:t>13.26</w:t>
      </w:r>
      <w:r>
        <w:rPr>
          <w:rFonts w:hint="eastAsia" w:ascii="Times New Roman" w:hAnsi="Times New Roman" w:eastAsia="方正仿宋_GBK" w:cs="方正仿宋_GBK"/>
          <w:spacing w:val="-4"/>
          <w:sz w:val="32"/>
          <w:shd w:val="clear" w:color="auto" w:fill="auto"/>
        </w:rPr>
        <w:t>%</w:t>
      </w:r>
      <w:r>
        <w:rPr>
          <w:rFonts w:hint="eastAsia" w:ascii="Times New Roman" w:hAnsi="Times New Roman" w:eastAsia="方正仿宋_GBK" w:cs="方正仿宋_GBK"/>
          <w:spacing w:val="-5"/>
          <w:sz w:val="32"/>
          <w:shd w:val="clear" w:color="auto" w:fill="auto"/>
        </w:rPr>
        <w:t>。主要</w:t>
      </w:r>
      <w:r>
        <w:rPr>
          <w:rFonts w:hint="eastAsia" w:ascii="Times New Roman" w:hAnsi="Times New Roman" w:eastAsia="方正仿宋_GBK" w:cs="方正仿宋_GBK"/>
          <w:spacing w:val="-10"/>
          <w:sz w:val="32"/>
          <w:shd w:val="clear" w:color="auto" w:fill="auto"/>
        </w:rPr>
        <w:t>原因是</w:t>
      </w:r>
      <w:r>
        <w:rPr>
          <w:rFonts w:hint="eastAsia" w:ascii="Times New Roman" w:hAnsi="Times New Roman" w:eastAsia="方正仿宋_GBK" w:cs="方正仿宋_GBK"/>
          <w:spacing w:val="-10"/>
          <w:sz w:val="32"/>
          <w:shd w:val="clear" w:color="auto" w:fill="auto"/>
          <w:lang w:val="en-US" w:eastAsia="zh-CN"/>
        </w:rPr>
        <w:t>专职消防员人数增多，人员经费保障标准增高；新建塔子湖消防站，建站支出增加。</w:t>
      </w:r>
    </w:p>
    <w:p w14:paraId="7FD0948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6" w:line="560" w:lineRule="exact"/>
        <w:ind w:left="708" w:firstLine="0"/>
        <w:jc w:val="both"/>
        <w:textAlignment w:val="baseline"/>
        <w:outlineLvl w:val="1"/>
        <w:rPr>
          <w:rFonts w:hint="eastAsia" w:ascii="Times New Roman" w:hAnsi="Times New Roman" w:eastAsia="方正仿宋_GBK" w:cs="方正仿宋_GBK"/>
          <w:b/>
          <w:bCs/>
          <w:snapToGrid w:val="0"/>
          <w:color w:val="000000"/>
          <w:spacing w:val="-5"/>
          <w:kern w:val="0"/>
          <w:sz w:val="32"/>
          <w:szCs w:val="32"/>
          <w:highlight w:val="none"/>
          <w:shd w:val="clear" w:color="auto" w:fill="auto"/>
          <w:lang w:val="en-US" w:eastAsia="en-US" w:bidi="ar-SA"/>
        </w:rPr>
      </w:pPr>
      <w:r>
        <w:rPr>
          <w:rFonts w:hint="eastAsia" w:ascii="Times New Roman" w:hAnsi="Times New Roman" w:eastAsia="方正仿宋_GBK" w:cs="方正仿宋_GBK"/>
          <w:b/>
          <w:bCs/>
          <w:snapToGrid w:val="0"/>
          <w:color w:val="000000"/>
          <w:spacing w:val="-5"/>
          <w:kern w:val="0"/>
          <w:sz w:val="32"/>
          <w:szCs w:val="32"/>
          <w:highlight w:val="none"/>
          <w:shd w:val="clear" w:color="auto" w:fill="auto"/>
          <w:lang w:val="en-US" w:eastAsia="zh-CN" w:bidi="ar-SA"/>
        </w:rPr>
        <w:t>（二）</w:t>
      </w:r>
      <w:r>
        <w:rPr>
          <w:rFonts w:hint="eastAsia" w:ascii="Times New Roman" w:hAnsi="Times New Roman" w:eastAsia="方正仿宋_GBK" w:cs="方正仿宋_GBK"/>
          <w:b/>
          <w:bCs/>
          <w:snapToGrid w:val="0"/>
          <w:color w:val="000000"/>
          <w:spacing w:val="-5"/>
          <w:kern w:val="0"/>
          <w:sz w:val="32"/>
          <w:szCs w:val="32"/>
          <w:highlight w:val="none"/>
          <w:shd w:val="clear" w:color="auto" w:fill="auto"/>
          <w:lang w:val="en-US" w:eastAsia="en-US" w:bidi="ar-SA"/>
        </w:rPr>
        <w:t>一般公共预算财政拨款支出决算结构情况</w:t>
      </w:r>
    </w:p>
    <w:p w14:paraId="36EAED9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8" w:line="560" w:lineRule="exact"/>
        <w:ind w:left="2" w:firstLine="628" w:firstLineChars="200"/>
        <w:jc w:val="both"/>
        <w:textAlignment w:val="baseline"/>
        <w:rPr>
          <w:rFonts w:ascii="Times New Roman" w:hAnsi="Times New Roman" w:eastAsia="方正仿宋_GBK"/>
          <w:sz w:val="32"/>
          <w:shd w:val="clear" w:color="auto" w:fill="auto"/>
        </w:rPr>
      </w:pPr>
      <w:r>
        <w:rPr>
          <w:rFonts w:ascii="Times New Roman" w:hAnsi="Times New Roman" w:eastAsia="方正仿宋_GBK"/>
          <w:spacing w:val="-3"/>
          <w:sz w:val="32"/>
          <w:shd w:val="clear" w:color="auto" w:fill="auto"/>
        </w:rPr>
        <w:t>2023年度一般公共预算财政拨款支出</w:t>
      </w:r>
      <w:r>
        <w:rPr>
          <w:rFonts w:hint="eastAsia" w:ascii="Times New Roman" w:hAnsi="Times New Roman" w:eastAsia="方正仿宋_GBK"/>
          <w:spacing w:val="4"/>
          <w:sz w:val="32"/>
          <w:highlight w:val="none"/>
          <w:u w:val="single" w:color="auto"/>
          <w:shd w:val="clear" w:color="auto" w:fill="auto"/>
        </w:rPr>
        <w:t>4,727.16</w:t>
      </w:r>
      <w:r>
        <w:rPr>
          <w:rFonts w:ascii="Times New Roman" w:hAnsi="Times New Roman" w:eastAsia="方正仿宋_GBK"/>
          <w:spacing w:val="-4"/>
          <w:sz w:val="32"/>
          <w:shd w:val="clear" w:color="auto" w:fill="auto"/>
        </w:rPr>
        <w:t>万元，主要</w:t>
      </w:r>
      <w:r>
        <w:rPr>
          <w:rFonts w:ascii="Times New Roman" w:hAnsi="Times New Roman" w:eastAsia="方正仿宋_GBK"/>
          <w:spacing w:val="-2"/>
          <w:sz w:val="32"/>
          <w:shd w:val="clear" w:color="auto" w:fill="auto"/>
        </w:rPr>
        <w:t>用于以下方面：</w:t>
      </w:r>
    </w:p>
    <w:p w14:paraId="7689285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0" w:line="560" w:lineRule="exact"/>
        <w:ind w:left="12" w:firstLine="628" w:firstLineChars="200"/>
        <w:jc w:val="both"/>
        <w:textAlignment w:val="baseline"/>
        <w:rPr>
          <w:rFonts w:hint="eastAsia" w:ascii="Times New Roman" w:hAnsi="Times New Roman" w:eastAsia="方正仿宋_GBK"/>
          <w:spacing w:val="-108"/>
          <w:sz w:val="32"/>
          <w:shd w:val="clear" w:color="auto" w:fill="auto"/>
          <w:lang w:eastAsia="zh-CN"/>
        </w:rPr>
      </w:pPr>
      <w:r>
        <w:rPr>
          <w:rFonts w:ascii="Times New Roman" w:hAnsi="Times New Roman" w:eastAsia="方正仿宋_GBK"/>
          <w:spacing w:val="-3"/>
          <w:sz w:val="32"/>
          <w:shd w:val="clear" w:color="auto" w:fill="auto"/>
        </w:rPr>
        <w:t>1.</w:t>
      </w:r>
      <w:r>
        <w:rPr>
          <w:rFonts w:hint="eastAsia" w:ascii="Times New Roman" w:hAnsi="Times New Roman" w:eastAsia="方正仿宋_GBK"/>
          <w:spacing w:val="-3"/>
          <w:sz w:val="32"/>
          <w:shd w:val="clear" w:color="auto" w:fill="auto"/>
          <w:lang w:eastAsia="zh-CN"/>
        </w:rPr>
        <w:t>卫生健康</w:t>
      </w:r>
      <w:r>
        <w:rPr>
          <w:rFonts w:ascii="Times New Roman" w:hAnsi="Times New Roman" w:eastAsia="方正仿宋_GBK"/>
          <w:spacing w:val="-3"/>
          <w:sz w:val="32"/>
          <w:shd w:val="clear" w:color="auto" w:fill="auto"/>
        </w:rPr>
        <w:t>支出</w:t>
      </w:r>
      <w:r>
        <w:rPr>
          <w:rFonts w:hint="eastAsia" w:ascii="Times New Roman" w:hAnsi="Times New Roman" w:eastAsia="方正仿宋_GBK"/>
          <w:spacing w:val="-3"/>
          <w:sz w:val="32"/>
          <w:u w:val="single" w:color="auto"/>
          <w:shd w:val="clear" w:color="auto" w:fill="auto"/>
          <w:lang w:val="en-US" w:eastAsia="zh-CN"/>
        </w:rPr>
        <w:t>77.06</w:t>
      </w:r>
      <w:r>
        <w:rPr>
          <w:rFonts w:ascii="Times New Roman" w:hAnsi="Times New Roman" w:eastAsia="方正仿宋_GBK"/>
          <w:spacing w:val="-3"/>
          <w:sz w:val="32"/>
          <w:shd w:val="clear" w:color="auto" w:fill="auto"/>
        </w:rPr>
        <w:t>万元，占</w:t>
      </w:r>
      <w:r>
        <w:rPr>
          <w:rFonts w:hint="eastAsia" w:ascii="Times New Roman" w:hAnsi="Times New Roman" w:eastAsia="方正仿宋_GBK"/>
          <w:spacing w:val="-3"/>
          <w:sz w:val="32"/>
          <w:u w:val="single" w:color="auto"/>
          <w:shd w:val="clear" w:color="auto" w:fill="auto"/>
          <w:lang w:val="en-US" w:eastAsia="zh-CN"/>
        </w:rPr>
        <w:t>1.63</w:t>
      </w:r>
      <w:r>
        <w:rPr>
          <w:rFonts w:ascii="Times New Roman" w:hAnsi="Times New Roman" w:eastAsia="方正仿宋_GBK"/>
          <w:spacing w:val="-3"/>
          <w:sz w:val="32"/>
          <w:shd w:val="clear" w:color="auto" w:fill="auto"/>
        </w:rPr>
        <w:t>%。主</w:t>
      </w:r>
      <w:r>
        <w:rPr>
          <w:rFonts w:ascii="Times New Roman" w:hAnsi="Times New Roman" w:eastAsia="方正仿宋_GBK"/>
          <w:spacing w:val="-10"/>
          <w:sz w:val="32"/>
          <w:shd w:val="clear" w:color="auto" w:fill="auto"/>
        </w:rPr>
        <w:t>要是用于</w:t>
      </w:r>
      <w:r>
        <w:rPr>
          <w:rFonts w:hint="eastAsia" w:ascii="Times New Roman" w:hAnsi="Times New Roman" w:eastAsia="方正仿宋_GBK"/>
          <w:spacing w:val="-10"/>
          <w:sz w:val="32"/>
          <w:shd w:val="clear" w:color="auto" w:fill="auto"/>
          <w:lang w:eastAsia="zh-CN"/>
        </w:rPr>
        <w:t>消防救援人员医疗费支出。</w:t>
      </w:r>
    </w:p>
    <w:p w14:paraId="7119D8B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0" w:line="560" w:lineRule="exact"/>
        <w:ind w:left="12" w:firstLine="616" w:firstLineChars="200"/>
        <w:jc w:val="both"/>
        <w:textAlignment w:val="baseline"/>
        <w:rPr>
          <w:rFonts w:hint="default" w:ascii="Times New Roman" w:hAnsi="Times New Roman" w:eastAsia="方正仿宋_GBK"/>
          <w:sz w:val="32"/>
          <w:shd w:val="clear" w:color="auto" w:fill="auto"/>
          <w:lang w:val="en-US" w:eastAsia="zh-CN"/>
        </w:rPr>
      </w:pPr>
      <w:r>
        <w:rPr>
          <w:rFonts w:ascii="Times New Roman" w:hAnsi="Times New Roman" w:eastAsia="方正仿宋_GBK"/>
          <w:spacing w:val="-6"/>
          <w:sz w:val="32"/>
          <w:shd w:val="clear" w:color="auto" w:fill="auto"/>
        </w:rPr>
        <w:t>2.</w:t>
      </w:r>
      <w:r>
        <w:rPr>
          <w:rFonts w:hint="eastAsia" w:ascii="Times New Roman" w:hAnsi="Times New Roman" w:eastAsia="方正仿宋_GBK"/>
          <w:spacing w:val="-6"/>
          <w:sz w:val="32"/>
          <w:shd w:val="clear" w:color="auto" w:fill="auto"/>
          <w:lang w:eastAsia="zh-CN"/>
        </w:rPr>
        <w:t>住房保障支出</w:t>
      </w:r>
      <w:r>
        <w:rPr>
          <w:rFonts w:hint="eastAsia" w:ascii="Times New Roman" w:hAnsi="Times New Roman" w:eastAsia="方正仿宋_GBK"/>
          <w:spacing w:val="-6"/>
          <w:sz w:val="32"/>
          <w:u w:val="single" w:color="auto"/>
          <w:shd w:val="clear" w:color="auto" w:fill="auto"/>
          <w:lang w:val="en-US" w:eastAsia="zh-CN"/>
        </w:rPr>
        <w:t>207.03</w:t>
      </w:r>
      <w:r>
        <w:rPr>
          <w:rFonts w:ascii="Times New Roman" w:hAnsi="Times New Roman" w:eastAsia="方正仿宋_GBK"/>
          <w:spacing w:val="-6"/>
          <w:sz w:val="32"/>
          <w:shd w:val="clear" w:color="auto" w:fill="auto"/>
        </w:rPr>
        <w:t>万元，占</w:t>
      </w:r>
      <w:r>
        <w:rPr>
          <w:rFonts w:hint="eastAsia" w:ascii="Times New Roman" w:hAnsi="Times New Roman" w:eastAsia="方正仿宋_GBK"/>
          <w:spacing w:val="-6"/>
          <w:sz w:val="32"/>
          <w:u w:val="single" w:color="auto"/>
          <w:shd w:val="clear" w:color="auto" w:fill="auto"/>
          <w:lang w:val="en-US" w:eastAsia="zh-CN"/>
        </w:rPr>
        <w:t>4.38</w:t>
      </w:r>
      <w:r>
        <w:rPr>
          <w:rFonts w:ascii="Times New Roman" w:hAnsi="Times New Roman" w:eastAsia="方正仿宋_GBK"/>
          <w:spacing w:val="-6"/>
          <w:sz w:val="32"/>
          <w:shd w:val="clear" w:color="auto" w:fill="auto"/>
        </w:rPr>
        <w:t>%。主要是</w:t>
      </w:r>
      <w:r>
        <w:rPr>
          <w:rFonts w:hint="eastAsia" w:ascii="Times New Roman" w:hAnsi="Times New Roman" w:eastAsia="方正仿宋_GBK"/>
          <w:spacing w:val="-6"/>
          <w:sz w:val="32"/>
          <w:shd w:val="clear" w:color="auto" w:fill="auto"/>
          <w:lang w:eastAsia="zh-CN"/>
        </w:rPr>
        <w:t>用于消防救援人员住房公积金支出。</w:t>
      </w:r>
    </w:p>
    <w:p w14:paraId="407AC92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0" w:line="560" w:lineRule="exact"/>
        <w:ind w:left="12" w:firstLine="616" w:firstLineChars="200"/>
        <w:jc w:val="both"/>
        <w:textAlignment w:val="baseline"/>
        <w:rPr>
          <w:rFonts w:hint="eastAsia" w:ascii="Times New Roman" w:hAnsi="Times New Roman" w:eastAsia="方正仿宋_GBK"/>
          <w:spacing w:val="-6"/>
          <w:sz w:val="32"/>
          <w:shd w:val="clear" w:color="auto" w:fill="auto"/>
          <w:lang w:eastAsia="zh-CN"/>
        </w:rPr>
      </w:pPr>
      <w:r>
        <w:rPr>
          <w:rFonts w:ascii="Times New Roman" w:hAnsi="Times New Roman" w:eastAsia="方正仿宋_GBK"/>
          <w:spacing w:val="-6"/>
          <w:sz w:val="32"/>
          <w:shd w:val="clear" w:color="auto" w:fill="auto"/>
        </w:rPr>
        <w:t>3.</w:t>
      </w:r>
      <w:r>
        <w:rPr>
          <w:rFonts w:hint="eastAsia" w:ascii="Times New Roman" w:hAnsi="Times New Roman" w:eastAsia="方正仿宋_GBK"/>
          <w:spacing w:val="-6"/>
          <w:sz w:val="32"/>
          <w:shd w:val="clear" w:color="auto" w:fill="auto"/>
          <w:lang w:eastAsia="zh-CN"/>
        </w:rPr>
        <w:t>灾害防治及应急管理支出</w:t>
      </w:r>
      <w:r>
        <w:rPr>
          <w:rFonts w:hint="eastAsia" w:ascii="Times New Roman" w:hAnsi="Times New Roman" w:eastAsia="方正仿宋_GBK"/>
          <w:spacing w:val="-6"/>
          <w:sz w:val="32"/>
          <w:u w:val="single"/>
          <w:shd w:val="clear" w:color="auto" w:fill="auto"/>
          <w:lang w:val="en-US" w:eastAsia="zh-CN"/>
        </w:rPr>
        <w:t>4,443.07</w:t>
      </w:r>
      <w:r>
        <w:rPr>
          <w:rFonts w:hint="eastAsia" w:ascii="Times New Roman" w:hAnsi="Times New Roman" w:eastAsia="方正仿宋_GBK"/>
          <w:spacing w:val="-6"/>
          <w:sz w:val="32"/>
          <w:shd w:val="clear" w:color="auto" w:fill="auto"/>
          <w:lang w:val="en-US" w:eastAsia="zh-CN"/>
        </w:rPr>
        <w:t>万元，占</w:t>
      </w:r>
      <w:r>
        <w:rPr>
          <w:rFonts w:hint="eastAsia" w:ascii="Times New Roman" w:hAnsi="Times New Roman" w:eastAsia="方正仿宋_GBK"/>
          <w:spacing w:val="-6"/>
          <w:sz w:val="32"/>
          <w:u w:val="single" w:color="auto"/>
          <w:shd w:val="clear" w:color="auto" w:fill="auto"/>
          <w:lang w:val="en-US" w:eastAsia="zh-CN"/>
        </w:rPr>
        <w:t>93.99</w:t>
      </w:r>
      <w:r>
        <w:rPr>
          <w:rFonts w:hint="eastAsia" w:ascii="Times New Roman" w:hAnsi="Times New Roman" w:eastAsia="方正仿宋_GBK"/>
          <w:spacing w:val="-6"/>
          <w:sz w:val="32"/>
          <w:shd w:val="clear" w:color="auto" w:fill="auto"/>
          <w:lang w:val="en-US" w:eastAsia="zh-CN"/>
        </w:rPr>
        <w:t>%</w:t>
      </w:r>
      <w:r>
        <w:rPr>
          <w:rFonts w:ascii="Times New Roman" w:hAnsi="Times New Roman" w:eastAsia="方正仿宋_GBK"/>
          <w:spacing w:val="-6"/>
          <w:sz w:val="32"/>
          <w:shd w:val="clear" w:color="auto" w:fill="auto"/>
        </w:rPr>
        <w:t>。</w:t>
      </w:r>
      <w:r>
        <w:rPr>
          <w:rFonts w:hint="eastAsia" w:ascii="Times New Roman" w:hAnsi="Times New Roman" w:eastAsia="方正仿宋_GBK"/>
          <w:spacing w:val="-6"/>
          <w:sz w:val="32"/>
          <w:shd w:val="clear" w:color="auto" w:fill="auto"/>
          <w:lang w:eastAsia="zh-CN"/>
        </w:rPr>
        <w:t>主要用于消防救援人员的人员经费、区消防大队的日常运行费、消防车辆装备维修保养及油料费、营房维修维护经费等。</w:t>
      </w:r>
    </w:p>
    <w:p w14:paraId="05C5076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1" w:line="560" w:lineRule="exact"/>
        <w:ind w:left="695" w:firstLine="0"/>
        <w:jc w:val="both"/>
        <w:textAlignment w:val="baseline"/>
        <w:rPr>
          <w:rFonts w:ascii="Times New Roman" w:hAnsi="Times New Roman" w:eastAsia="方正仿宋_GBK" w:cs="楷体"/>
          <w:b/>
          <w:bCs/>
          <w:spacing w:val="-3"/>
          <w:sz w:val="32"/>
          <w:szCs w:val="32"/>
          <w:shd w:val="clear" w:color="auto" w:fill="auto"/>
        </w:rPr>
      </w:pPr>
      <w:r>
        <w:rPr>
          <w:rFonts w:hint="eastAsia" w:ascii="Times New Roman" w:hAnsi="Times New Roman" w:eastAsia="方正仿宋_GBK" w:cs="楷体"/>
          <w:b/>
          <w:bCs/>
          <w:spacing w:val="-3"/>
          <w:sz w:val="32"/>
          <w:szCs w:val="32"/>
          <w:shd w:val="clear" w:color="auto" w:fill="auto"/>
          <w:lang w:eastAsia="zh-CN"/>
        </w:rPr>
        <w:t>（</w:t>
      </w:r>
      <w:r>
        <w:rPr>
          <w:rFonts w:ascii="Times New Roman" w:hAnsi="Times New Roman" w:eastAsia="方正仿宋_GBK" w:cs="楷体"/>
          <w:b/>
          <w:bCs/>
          <w:spacing w:val="-3"/>
          <w:sz w:val="32"/>
          <w:szCs w:val="32"/>
          <w:shd w:val="clear" w:color="auto" w:fill="auto"/>
        </w:rPr>
        <w:t>三</w:t>
      </w:r>
      <w:r>
        <w:rPr>
          <w:rFonts w:hint="eastAsia" w:ascii="Times New Roman" w:hAnsi="Times New Roman" w:eastAsia="方正仿宋_GBK" w:cs="楷体"/>
          <w:b/>
          <w:bCs/>
          <w:spacing w:val="-3"/>
          <w:sz w:val="32"/>
          <w:szCs w:val="32"/>
          <w:shd w:val="clear" w:color="auto" w:fill="auto"/>
          <w:lang w:eastAsia="zh-CN"/>
        </w:rPr>
        <w:t>）</w:t>
      </w:r>
      <w:r>
        <w:rPr>
          <w:rFonts w:ascii="Times New Roman" w:hAnsi="Times New Roman" w:eastAsia="方正仿宋_GBK" w:cs="楷体"/>
          <w:b/>
          <w:bCs/>
          <w:spacing w:val="-3"/>
          <w:sz w:val="32"/>
          <w:szCs w:val="32"/>
          <w:shd w:val="clear" w:color="auto" w:fill="auto"/>
        </w:rPr>
        <w:t>一般公共预算财政拨款支出决算具体情况</w:t>
      </w:r>
    </w:p>
    <w:p w14:paraId="722054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28" w:firstLineChars="200"/>
        <w:jc w:val="both"/>
        <w:textAlignment w:val="baseline"/>
        <w:rPr>
          <w:rFonts w:hint="eastAsia" w:ascii="Times New Roman" w:hAnsi="Times New Roman" w:eastAsia="方正仿宋_GBK"/>
          <w:spacing w:val="-1"/>
          <w:sz w:val="32"/>
          <w:shd w:val="clear" w:color="auto" w:fill="auto"/>
          <w:lang w:eastAsia="zh-CN"/>
        </w:rPr>
      </w:pPr>
      <w:r>
        <w:rPr>
          <w:rFonts w:ascii="Times New Roman" w:hAnsi="Times New Roman" w:eastAsia="方正仿宋_GBK"/>
          <w:spacing w:val="-3"/>
          <w:sz w:val="32"/>
          <w:shd w:val="clear" w:color="auto" w:fill="auto"/>
        </w:rPr>
        <w:t>2023年度一般公共预算财政拨款支出</w:t>
      </w:r>
      <w:r>
        <w:rPr>
          <w:rFonts w:hint="eastAsia" w:ascii="Times New Roman" w:hAnsi="Times New Roman" w:eastAsia="方正仿宋_GBK"/>
          <w:spacing w:val="-3"/>
          <w:sz w:val="32"/>
          <w:shd w:val="clear" w:color="auto" w:fill="auto"/>
          <w:lang w:eastAsia="zh-CN"/>
        </w:rPr>
        <w:t>年初</w:t>
      </w:r>
      <w:r>
        <w:rPr>
          <w:rFonts w:ascii="Times New Roman" w:hAnsi="Times New Roman" w:eastAsia="方正仿宋_GBK"/>
          <w:spacing w:val="-3"/>
          <w:sz w:val="32"/>
          <w:shd w:val="clear" w:color="auto" w:fill="auto"/>
        </w:rPr>
        <w:t>预算为</w:t>
      </w:r>
      <w:r>
        <w:rPr>
          <w:rFonts w:hint="eastAsia" w:ascii="Times New Roman" w:hAnsi="Times New Roman" w:eastAsia="方正仿宋_GBK"/>
          <w:spacing w:val="4"/>
          <w:sz w:val="32"/>
          <w:highlight w:val="none"/>
          <w:u w:val="single" w:color="auto"/>
          <w:shd w:val="clear" w:color="auto" w:fill="auto"/>
        </w:rPr>
        <w:t>3,676.7</w:t>
      </w:r>
      <w:r>
        <w:rPr>
          <w:rFonts w:hint="eastAsia" w:ascii="Times New Roman" w:hAnsi="Times New Roman" w:eastAsia="方正仿宋_GBK"/>
          <w:spacing w:val="-6"/>
          <w:sz w:val="32"/>
          <w:u w:val="none"/>
          <w:shd w:val="clear" w:color="auto" w:fill="auto"/>
          <w:lang w:val="en-US" w:eastAsia="zh-CN"/>
        </w:rPr>
        <w:t>万</w:t>
      </w:r>
      <w:r>
        <w:rPr>
          <w:rFonts w:ascii="Times New Roman" w:hAnsi="Times New Roman" w:eastAsia="方正仿宋_GBK"/>
          <w:spacing w:val="-3"/>
          <w:sz w:val="32"/>
          <w:shd w:val="clear" w:color="auto" w:fill="auto"/>
        </w:rPr>
        <w:t>元，</w:t>
      </w:r>
      <w:r>
        <w:rPr>
          <w:rFonts w:ascii="Times New Roman" w:hAnsi="Times New Roman" w:eastAsia="方正仿宋_GBK"/>
          <w:spacing w:val="-1"/>
          <w:sz w:val="32"/>
          <w:shd w:val="clear" w:color="auto" w:fill="auto"/>
        </w:rPr>
        <w:t>支出决算为</w:t>
      </w:r>
      <w:r>
        <w:rPr>
          <w:rFonts w:hint="eastAsia" w:ascii="Times New Roman" w:hAnsi="Times New Roman" w:eastAsia="方正仿宋_GBK"/>
          <w:spacing w:val="4"/>
          <w:sz w:val="32"/>
          <w:highlight w:val="none"/>
          <w:u w:val="single" w:color="auto"/>
          <w:shd w:val="clear" w:color="auto" w:fill="auto"/>
        </w:rPr>
        <w:t>4,727.16</w:t>
      </w:r>
      <w:r>
        <w:rPr>
          <w:rFonts w:ascii="Times New Roman" w:hAnsi="Times New Roman" w:eastAsia="方正仿宋_GBK"/>
          <w:spacing w:val="-1"/>
          <w:sz w:val="32"/>
          <w:shd w:val="clear" w:color="auto" w:fill="auto"/>
        </w:rPr>
        <w:t>万元，完成年初预算的</w:t>
      </w:r>
      <w:r>
        <w:rPr>
          <w:rFonts w:hint="eastAsia" w:ascii="Times New Roman" w:hAnsi="Times New Roman" w:eastAsia="方正仿宋_GBK"/>
          <w:spacing w:val="-1"/>
          <w:sz w:val="32"/>
          <w:u w:val="single" w:color="auto"/>
          <w:shd w:val="clear" w:color="auto" w:fill="auto"/>
          <w:lang w:val="en-US" w:eastAsia="zh-CN"/>
        </w:rPr>
        <w:t>128.57</w:t>
      </w:r>
      <w:r>
        <w:rPr>
          <w:rFonts w:ascii="Times New Roman" w:hAnsi="Times New Roman" w:eastAsia="方正仿宋_GBK"/>
          <w:spacing w:val="-1"/>
          <w:sz w:val="32"/>
          <w:shd w:val="clear" w:color="auto" w:fill="auto"/>
        </w:rPr>
        <w:t>%</w:t>
      </w:r>
      <w:r>
        <w:rPr>
          <w:rFonts w:hint="eastAsia" w:ascii="Times New Roman" w:hAnsi="Times New Roman" w:eastAsia="方正仿宋_GBK"/>
          <w:spacing w:val="-1"/>
          <w:sz w:val="32"/>
          <w:shd w:val="clear" w:color="auto" w:fill="auto"/>
          <w:lang w:eastAsia="zh-CN"/>
        </w:rPr>
        <w:t>。</w:t>
      </w:r>
    </w:p>
    <w:p w14:paraId="3132E56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36" w:firstLineChars="200"/>
        <w:jc w:val="both"/>
        <w:textAlignment w:val="baseline"/>
        <w:rPr>
          <w:rFonts w:hint="eastAsia" w:ascii="Times New Roman" w:hAnsi="Times New Roman" w:eastAsia="方正仿宋_GBK"/>
          <w:spacing w:val="-16"/>
          <w:sz w:val="32"/>
          <w:shd w:val="clear" w:color="auto" w:fill="auto"/>
          <w:lang w:val="en-US" w:eastAsia="zh-CN"/>
        </w:rPr>
      </w:pPr>
      <w:r>
        <w:rPr>
          <w:rFonts w:ascii="Times New Roman" w:hAnsi="Times New Roman" w:eastAsia="方正仿宋_GBK"/>
          <w:spacing w:val="-1"/>
          <w:sz w:val="32"/>
          <w:shd w:val="clear" w:color="auto" w:fill="auto"/>
        </w:rPr>
        <w:t>其中：</w:t>
      </w:r>
      <w:r>
        <w:rPr>
          <w:rFonts w:ascii="Times New Roman" w:hAnsi="Times New Roman" w:eastAsia="方正仿宋_GBK"/>
          <w:spacing w:val="-3"/>
          <w:sz w:val="32"/>
          <w:shd w:val="clear" w:color="auto" w:fill="auto"/>
        </w:rPr>
        <w:t>基本支出</w:t>
      </w:r>
      <w:r>
        <w:rPr>
          <w:rFonts w:hint="eastAsia" w:ascii="Times New Roman" w:hAnsi="Times New Roman" w:eastAsia="方正仿宋_GBK"/>
          <w:spacing w:val="-3"/>
          <w:sz w:val="32"/>
          <w:u w:val="single"/>
          <w:shd w:val="clear" w:color="auto" w:fill="auto"/>
          <w:lang w:val="en-US" w:eastAsia="zh-CN"/>
        </w:rPr>
        <w:t>964.26</w:t>
      </w:r>
      <w:r>
        <w:rPr>
          <w:rFonts w:ascii="Times New Roman" w:hAnsi="Times New Roman" w:eastAsia="方正仿宋_GBK"/>
          <w:spacing w:val="-3"/>
          <w:sz w:val="32"/>
          <w:shd w:val="clear" w:color="auto" w:fill="auto"/>
        </w:rPr>
        <w:t>万元</w:t>
      </w:r>
      <w:r>
        <w:rPr>
          <w:rFonts w:ascii="Times New Roman" w:hAnsi="Times New Roman" w:eastAsia="方正仿宋_GBK"/>
          <w:spacing w:val="-6"/>
          <w:sz w:val="32"/>
          <w:shd w:val="clear" w:color="auto" w:fill="auto"/>
        </w:rPr>
        <w:t>，项目支出</w:t>
      </w:r>
      <w:r>
        <w:rPr>
          <w:rFonts w:hint="eastAsia" w:ascii="Times New Roman" w:hAnsi="Times New Roman" w:eastAsia="方正仿宋_GBK"/>
          <w:spacing w:val="-6"/>
          <w:sz w:val="32"/>
          <w:u w:val="single" w:color="auto"/>
          <w:shd w:val="clear" w:color="auto" w:fill="auto"/>
          <w:lang w:val="en-US" w:eastAsia="zh-CN"/>
        </w:rPr>
        <w:t>3,762.90</w:t>
      </w:r>
      <w:r>
        <w:rPr>
          <w:rFonts w:ascii="Times New Roman" w:hAnsi="Times New Roman" w:eastAsia="方正仿宋_GBK"/>
          <w:spacing w:val="-6"/>
          <w:sz w:val="32"/>
          <w:shd w:val="clear" w:color="auto" w:fill="auto"/>
        </w:rPr>
        <w:t>万元。项目支出主要用于</w:t>
      </w:r>
      <w:r>
        <w:rPr>
          <w:rFonts w:hint="eastAsia" w:ascii="Times New Roman" w:hAnsi="Times New Roman" w:eastAsia="方正仿宋_GBK"/>
          <w:spacing w:val="-6"/>
          <w:sz w:val="32"/>
          <w:shd w:val="clear" w:color="auto" w:fill="auto"/>
          <w:lang w:val="en-US" w:eastAsia="zh-CN"/>
        </w:rPr>
        <w:t>消防应急救援</w:t>
      </w:r>
      <w:r>
        <w:rPr>
          <w:rFonts w:hint="eastAsia" w:ascii="Times New Roman" w:hAnsi="Times New Roman" w:eastAsia="方正仿宋_GBK"/>
          <w:spacing w:val="-6"/>
          <w:sz w:val="32"/>
          <w:u w:val="single" w:color="auto"/>
          <w:shd w:val="clear" w:color="auto" w:fill="auto"/>
          <w:lang w:val="en-US" w:eastAsia="zh-CN"/>
        </w:rPr>
        <w:t>3,762.90</w:t>
      </w:r>
      <w:r>
        <w:rPr>
          <w:rFonts w:ascii="Times New Roman" w:hAnsi="Times New Roman" w:eastAsia="方正仿宋_GBK"/>
          <w:spacing w:val="-6"/>
          <w:sz w:val="32"/>
          <w:shd w:val="clear" w:color="auto" w:fill="auto"/>
        </w:rPr>
        <w:t>万</w:t>
      </w:r>
      <w:r>
        <w:rPr>
          <w:rFonts w:ascii="Times New Roman" w:hAnsi="Times New Roman" w:eastAsia="方正仿宋_GBK"/>
          <w:spacing w:val="-16"/>
          <w:sz w:val="32"/>
          <w:shd w:val="clear" w:color="auto" w:fill="auto"/>
        </w:rPr>
        <w:t>元，主要成效</w:t>
      </w:r>
      <w:r>
        <w:rPr>
          <w:rFonts w:hint="eastAsia" w:ascii="Times New Roman" w:hAnsi="Times New Roman" w:eastAsia="方正仿宋_GBK"/>
          <w:spacing w:val="-16"/>
          <w:sz w:val="32"/>
          <w:shd w:val="clear" w:color="auto" w:fill="auto"/>
        </w:rPr>
        <w:t>加强专职队员管理。建立完善政府专职消防员“招、管、训、用、保”科学管理机制，</w:t>
      </w:r>
      <w:r>
        <w:rPr>
          <w:rFonts w:hint="eastAsia" w:ascii="Times New Roman" w:hAnsi="Times New Roman" w:eastAsia="方正仿宋_GBK"/>
          <w:spacing w:val="-16"/>
          <w:sz w:val="32"/>
          <w:shd w:val="clear" w:color="auto" w:fill="auto"/>
          <w:lang w:eastAsia="zh-CN"/>
        </w:rPr>
        <w:t>常态化开展</w:t>
      </w:r>
      <w:r>
        <w:rPr>
          <w:rFonts w:hint="eastAsia" w:ascii="Times New Roman" w:hAnsi="Times New Roman" w:eastAsia="方正仿宋_GBK"/>
          <w:spacing w:val="-16"/>
          <w:sz w:val="32"/>
          <w:shd w:val="clear" w:color="auto" w:fill="auto"/>
        </w:rPr>
        <w:t>入职、任职、晋级和骨干“四类培训”</w:t>
      </w:r>
      <w:r>
        <w:rPr>
          <w:rFonts w:hint="eastAsia" w:ascii="Times New Roman" w:hAnsi="Times New Roman" w:eastAsia="方正仿宋_GBK"/>
          <w:spacing w:val="-16"/>
          <w:sz w:val="32"/>
          <w:shd w:val="clear" w:color="auto" w:fill="auto"/>
          <w:lang w:eastAsia="zh-CN"/>
        </w:rPr>
        <w:t>。</w:t>
      </w:r>
      <w:r>
        <w:rPr>
          <w:rFonts w:hint="eastAsia" w:ascii="Times New Roman" w:hAnsi="Times New Roman" w:eastAsia="方正仿宋_GBK"/>
          <w:spacing w:val="-16"/>
          <w:sz w:val="32"/>
          <w:shd w:val="clear" w:color="auto" w:fill="auto"/>
          <w:lang w:val="en-US" w:eastAsia="zh-CN"/>
        </w:rPr>
        <w:t>大队着力解决人民群众关切消防安全问题，致力净化全区消防安全环境，确保全区消防安全形势稳定。一是推进消防责任落实提请区委常委会、政府常务会（办公会）每月听取消防工作报告、形成党政领导带队检查督导消防工作常态机制；二是开展消防隐患综合治理。结合消防安全专项整治三年行动和消防安全大检查各项重点任务，以党的二十大消防安保任务为主线，紧盯高层建筑、商业综合体、自建房、老旧小区、文物建筑、工业物流园区等重点部位和重大火灾隐患、危化品、城镇燃气等重点领域，开展综合治理，严密排查消防安全隐患；三是打牢群防群治基础。充分发动街道、公安派出所、消防网格员和消防志愿者等多种形式基层消防力量，强化警消联防联勤，加强消防安全网格管理，落实联训联勤联调机制，筑牢社会面火灾防控基础。</w:t>
      </w:r>
    </w:p>
    <w:p w14:paraId="6DFCA79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38" w:line="560" w:lineRule="exact"/>
        <w:ind w:left="644" w:firstLine="0"/>
        <w:jc w:val="both"/>
        <w:textAlignment w:val="baseline"/>
        <w:rPr>
          <w:rFonts w:ascii="Times New Roman" w:hAnsi="Times New Roman" w:eastAsia="黑体" w:cs="黑体"/>
          <w:sz w:val="32"/>
          <w:szCs w:val="32"/>
        </w:rPr>
      </w:pPr>
      <w:r>
        <w:rPr>
          <w:rFonts w:ascii="Times New Roman" w:hAnsi="Times New Roman" w:eastAsia="黑体" w:cs="黑体"/>
          <w:spacing w:val="-1"/>
          <w:sz w:val="32"/>
          <w:szCs w:val="32"/>
        </w:rPr>
        <w:t>六、一般公共预算财政拨款基本支出决算情况说明</w:t>
      </w:r>
    </w:p>
    <w:p w14:paraId="35BE756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2" w:line="560" w:lineRule="exact"/>
        <w:ind w:firstLine="612" w:firstLineChars="200"/>
        <w:jc w:val="both"/>
        <w:textAlignment w:val="baseline"/>
        <w:rPr>
          <w:rFonts w:hint="eastAsia" w:ascii="Times New Roman" w:hAnsi="Times New Roman" w:eastAsia="方正仿宋_GBK"/>
          <w:spacing w:val="-7"/>
          <w:sz w:val="32"/>
          <w:lang w:eastAsia="zh-CN"/>
        </w:rPr>
      </w:pPr>
      <w:r>
        <w:rPr>
          <w:rFonts w:ascii="Times New Roman" w:hAnsi="Times New Roman" w:eastAsia="方正仿宋_GBK"/>
          <w:spacing w:val="-7"/>
          <w:sz w:val="32"/>
        </w:rPr>
        <w:t>2023年度一般公共预算财政拨款基本支出</w:t>
      </w:r>
      <w:r>
        <w:rPr>
          <w:rFonts w:hint="eastAsia" w:ascii="Times New Roman" w:hAnsi="Times New Roman" w:eastAsia="方正仿宋_GBK"/>
          <w:spacing w:val="-7"/>
          <w:sz w:val="32"/>
          <w:u w:val="single" w:color="auto"/>
          <w:lang w:val="en-US" w:eastAsia="zh-CN"/>
        </w:rPr>
        <w:t>964.26</w:t>
      </w:r>
      <w:r>
        <w:rPr>
          <w:rFonts w:ascii="Times New Roman" w:hAnsi="Times New Roman" w:eastAsia="方正仿宋_GBK"/>
          <w:spacing w:val="-7"/>
          <w:sz w:val="32"/>
        </w:rPr>
        <w:t>万元，其中</w:t>
      </w:r>
      <w:r>
        <w:rPr>
          <w:rFonts w:hint="eastAsia" w:ascii="Times New Roman" w:hAnsi="Times New Roman" w:eastAsia="方正仿宋_GBK"/>
          <w:spacing w:val="-7"/>
          <w:sz w:val="32"/>
          <w:lang w:eastAsia="zh-CN"/>
        </w:rPr>
        <w:t>：</w:t>
      </w:r>
    </w:p>
    <w:p w14:paraId="41E02E1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2" w:firstLine="588" w:firstLineChars="200"/>
        <w:jc w:val="both"/>
        <w:textAlignment w:val="baseline"/>
        <w:rPr>
          <w:rFonts w:ascii="Times New Roman" w:hAnsi="Times New Roman" w:eastAsia="方正仿宋_GBK"/>
          <w:sz w:val="32"/>
        </w:rPr>
      </w:pPr>
      <w:r>
        <w:rPr>
          <w:rFonts w:ascii="Times New Roman" w:hAnsi="Times New Roman" w:eastAsia="方正仿宋_GBK"/>
          <w:spacing w:val="-13"/>
          <w:sz w:val="32"/>
        </w:rPr>
        <w:t>人员经费</w:t>
      </w:r>
      <w:r>
        <w:rPr>
          <w:rFonts w:hint="eastAsia" w:ascii="Times New Roman" w:hAnsi="Times New Roman" w:eastAsia="方正仿宋_GBK"/>
          <w:spacing w:val="-7"/>
          <w:sz w:val="32"/>
          <w:u w:val="single" w:color="auto"/>
          <w:lang w:val="en-US" w:eastAsia="zh-CN"/>
        </w:rPr>
        <w:t>964.26</w:t>
      </w:r>
      <w:r>
        <w:rPr>
          <w:rFonts w:ascii="Times New Roman" w:hAnsi="Times New Roman" w:eastAsia="方正仿宋_GBK"/>
          <w:spacing w:val="-13"/>
          <w:sz w:val="32"/>
        </w:rPr>
        <w:t>万元，主要包括：基本工资、津贴补贴、</w:t>
      </w:r>
      <w:r>
        <w:rPr>
          <w:rFonts w:ascii="Times New Roman" w:hAnsi="Times New Roman" w:eastAsia="方正仿宋_GBK"/>
          <w:spacing w:val="-14"/>
          <w:sz w:val="32"/>
        </w:rPr>
        <w:t>奖金、</w:t>
      </w:r>
      <w:r>
        <w:rPr>
          <w:rFonts w:ascii="Times New Roman" w:hAnsi="Times New Roman" w:eastAsia="方正仿宋_GBK"/>
          <w:spacing w:val="-5"/>
          <w:sz w:val="32"/>
        </w:rPr>
        <w:t>伙食补助费、绩效工资、机关事业单位基本养老保险缴费、职业年金缴费、职工基本医疗保险缴费、公务员医疗补助缴费、其他社会保障缴费、住房公积金、医疗费、其他工资福利支出、离休费、退休费、退职</w:t>
      </w:r>
      <w:r>
        <w:rPr>
          <w:rFonts w:hint="eastAsia" w:ascii="Times New Roman" w:hAnsi="Times New Roman" w:eastAsia="方正仿宋_GBK"/>
          <w:spacing w:val="-5"/>
          <w:sz w:val="32"/>
          <w:lang w:eastAsia="zh-CN"/>
        </w:rPr>
        <w:t>（</w:t>
      </w:r>
      <w:r>
        <w:rPr>
          <w:rFonts w:hint="eastAsia" w:ascii="Times New Roman" w:hAnsi="Times New Roman" w:eastAsia="方正仿宋_GBK"/>
          <w:spacing w:val="-5"/>
          <w:sz w:val="32"/>
          <w:lang w:val="en-US" w:eastAsia="zh-CN"/>
        </w:rPr>
        <w:t>役</w:t>
      </w:r>
      <w:r>
        <w:rPr>
          <w:rFonts w:hint="eastAsia" w:ascii="Times New Roman" w:hAnsi="Times New Roman" w:eastAsia="方正仿宋_GBK"/>
          <w:spacing w:val="-5"/>
          <w:sz w:val="32"/>
          <w:lang w:eastAsia="zh-CN"/>
        </w:rPr>
        <w:t>）</w:t>
      </w:r>
      <w:r>
        <w:rPr>
          <w:rFonts w:ascii="Times New Roman" w:hAnsi="Times New Roman" w:eastAsia="方正仿宋_GBK"/>
          <w:spacing w:val="-5"/>
          <w:sz w:val="32"/>
        </w:rPr>
        <w:t>费、抚恤金、生活补助</w:t>
      </w:r>
      <w:r>
        <w:rPr>
          <w:rFonts w:ascii="Times New Roman" w:hAnsi="Times New Roman" w:eastAsia="方正仿宋_GBK"/>
          <w:spacing w:val="-6"/>
          <w:sz w:val="32"/>
        </w:rPr>
        <w:t>、救济费、医疗费</w:t>
      </w:r>
      <w:r>
        <w:rPr>
          <w:rFonts w:ascii="Times New Roman" w:hAnsi="Times New Roman" w:eastAsia="方正仿宋_GBK"/>
          <w:spacing w:val="-3"/>
          <w:sz w:val="32"/>
        </w:rPr>
        <w:t>补助、助学金、奖励金、个人农业生产补贴、代缴社会保险费、</w:t>
      </w:r>
      <w:r>
        <w:rPr>
          <w:rFonts w:ascii="Times New Roman" w:hAnsi="Times New Roman" w:eastAsia="方正仿宋_GBK"/>
          <w:spacing w:val="-1"/>
          <w:sz w:val="32"/>
        </w:rPr>
        <w:t>其他对个人和家庭的补助。</w:t>
      </w:r>
    </w:p>
    <w:p w14:paraId="71E1688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9" w:line="560" w:lineRule="exact"/>
        <w:ind w:firstLine="616" w:firstLineChars="200"/>
        <w:jc w:val="both"/>
        <w:textAlignment w:val="baseline"/>
        <w:rPr>
          <w:rFonts w:ascii="Times New Roman" w:hAnsi="Times New Roman"/>
          <w:sz w:val="32"/>
        </w:rPr>
      </w:pPr>
      <w:r>
        <w:rPr>
          <w:rFonts w:ascii="Times New Roman" w:hAnsi="Times New Roman" w:eastAsia="方正仿宋_GBK"/>
          <w:spacing w:val="-6"/>
          <w:sz w:val="32"/>
        </w:rPr>
        <w:t>公用经费</w:t>
      </w:r>
      <w:r>
        <w:rPr>
          <w:rFonts w:hint="eastAsia" w:ascii="Times New Roman" w:hAnsi="Times New Roman" w:eastAsia="方正仿宋_GBK"/>
          <w:spacing w:val="-6"/>
          <w:sz w:val="32"/>
          <w:u w:val="single" w:color="auto"/>
          <w:lang w:val="en-US" w:eastAsia="zh-CN"/>
        </w:rPr>
        <w:t>0</w:t>
      </w:r>
      <w:r>
        <w:rPr>
          <w:rFonts w:ascii="Times New Roman" w:hAnsi="Times New Roman" w:eastAsia="方正仿宋_GBK"/>
          <w:spacing w:val="-6"/>
          <w:sz w:val="32"/>
        </w:rPr>
        <w:t>万元，主要包括：办公费、印刷费、咨询费、</w:t>
      </w:r>
      <w:r>
        <w:rPr>
          <w:rFonts w:ascii="Times New Roman" w:hAnsi="Times New Roman" w:eastAsia="方正仿宋_GBK"/>
          <w:spacing w:val="-3"/>
          <w:sz w:val="32"/>
        </w:rPr>
        <w:t>手续费、水费、电费、邮电费、取暖费、物业管理费、差旅费、</w:t>
      </w:r>
      <w:r>
        <w:rPr>
          <w:rFonts w:ascii="Times New Roman" w:hAnsi="Times New Roman" w:eastAsia="方正仿宋_GBK"/>
          <w:spacing w:val="-7"/>
          <w:sz w:val="32"/>
        </w:rPr>
        <w:t>因公出国</w:t>
      </w:r>
      <w:r>
        <w:rPr>
          <w:rFonts w:hint="eastAsia" w:ascii="Times New Roman" w:hAnsi="Times New Roman" w:eastAsia="方正仿宋_GBK"/>
          <w:spacing w:val="-7"/>
          <w:sz w:val="32"/>
          <w:lang w:eastAsia="zh-CN"/>
        </w:rPr>
        <w:t>（</w:t>
      </w:r>
      <w:r>
        <w:rPr>
          <w:rFonts w:ascii="Times New Roman" w:hAnsi="Times New Roman" w:eastAsia="方正仿宋_GBK"/>
          <w:spacing w:val="-7"/>
          <w:sz w:val="32"/>
        </w:rPr>
        <w:t>境</w:t>
      </w:r>
      <w:r>
        <w:rPr>
          <w:rFonts w:hint="eastAsia" w:ascii="Times New Roman" w:hAnsi="Times New Roman" w:eastAsia="方正仿宋_GBK"/>
          <w:spacing w:val="-7"/>
          <w:sz w:val="32"/>
          <w:lang w:eastAsia="zh-CN"/>
        </w:rPr>
        <w:t>）</w:t>
      </w:r>
      <w:r>
        <w:rPr>
          <w:rFonts w:ascii="Times New Roman" w:hAnsi="Times New Roman" w:eastAsia="方正仿宋_GBK"/>
          <w:spacing w:val="-7"/>
          <w:sz w:val="32"/>
        </w:rPr>
        <w:t>费用、</w:t>
      </w:r>
      <w:r>
        <w:rPr>
          <w:rFonts w:hint="eastAsia" w:ascii="Times New Roman" w:hAnsi="Times New Roman" w:eastAsia="方正仿宋_GBK"/>
          <w:spacing w:val="-7"/>
          <w:sz w:val="32"/>
          <w:lang w:eastAsia="zh-CN"/>
        </w:rPr>
        <w:t>维修（护）费、</w:t>
      </w:r>
      <w:r>
        <w:rPr>
          <w:rFonts w:ascii="Times New Roman" w:hAnsi="Times New Roman" w:eastAsia="方正仿宋_GBK"/>
          <w:spacing w:val="-7"/>
          <w:sz w:val="32"/>
        </w:rPr>
        <w:t>租赁费、会议费、培训费、公</w:t>
      </w:r>
      <w:r>
        <w:rPr>
          <w:rFonts w:ascii="Times New Roman" w:hAnsi="Times New Roman" w:eastAsia="方正仿宋_GBK"/>
          <w:spacing w:val="-5"/>
          <w:sz w:val="32"/>
        </w:rPr>
        <w:t>务接待费、专用材料费、</w:t>
      </w:r>
      <w:r>
        <w:rPr>
          <w:rFonts w:hint="eastAsia" w:ascii="Times New Roman" w:hAnsi="Times New Roman" w:eastAsia="方正仿宋_GBK"/>
          <w:spacing w:val="-7"/>
          <w:sz w:val="32"/>
          <w:lang w:eastAsia="zh-CN"/>
        </w:rPr>
        <w:t>被装</w:t>
      </w:r>
      <w:r>
        <w:rPr>
          <w:rFonts w:ascii="Times New Roman" w:hAnsi="Times New Roman" w:eastAsia="方正仿宋_GBK"/>
          <w:spacing w:val="-5"/>
          <w:sz w:val="32"/>
        </w:rPr>
        <w:t>购置费、专用燃料费、劳务费、委托业务费、工会经费、福利费、公务用车运行维护费、其他交通</w:t>
      </w:r>
      <w:r>
        <w:rPr>
          <w:rFonts w:ascii="Times New Roman" w:hAnsi="Times New Roman" w:eastAsia="方正仿宋_GBK"/>
          <w:spacing w:val="-3"/>
          <w:sz w:val="32"/>
        </w:rPr>
        <w:t>费用、税金及附加费用、其他商品和服务支出、办公设备购置、</w:t>
      </w:r>
      <w:r>
        <w:rPr>
          <w:rFonts w:ascii="Times New Roman" w:hAnsi="Times New Roman" w:eastAsia="方正仿宋_GBK"/>
          <w:spacing w:val="-5"/>
          <w:sz w:val="32"/>
        </w:rPr>
        <w:t>专用设备购置、信息网络及软件购置更新、公务用车购置、文物</w:t>
      </w:r>
      <w:r>
        <w:rPr>
          <w:rFonts w:ascii="Times New Roman" w:hAnsi="Times New Roman" w:eastAsia="方正仿宋_GBK"/>
          <w:spacing w:val="-1"/>
          <w:sz w:val="32"/>
        </w:rPr>
        <w:t>和陈列品购置、无形资产购置、其他资本性支出。</w:t>
      </w:r>
    </w:p>
    <w:p w14:paraId="05DA766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560" w:lineRule="exact"/>
        <w:ind w:firstLine="640" w:firstLineChars="200"/>
        <w:jc w:val="both"/>
        <w:textAlignment w:val="baseline"/>
        <w:rPr>
          <w:rFonts w:ascii="Times New Roman" w:hAnsi="Times New Roman" w:eastAsia="黑体" w:cs="黑体"/>
          <w:sz w:val="32"/>
          <w:szCs w:val="32"/>
        </w:rPr>
      </w:pPr>
      <w:r>
        <w:rPr>
          <w:rFonts w:ascii="Times New Roman" w:hAnsi="Times New Roman" w:eastAsia="黑体" w:cs="黑体"/>
          <w:sz w:val="32"/>
          <w:szCs w:val="32"/>
        </w:rPr>
        <w:t>七、政府性基金预算财政拨款收入支出决算情</w:t>
      </w:r>
      <w:r>
        <w:rPr>
          <w:rFonts w:ascii="Times New Roman" w:hAnsi="Times New Roman" w:eastAsia="黑体" w:cs="黑体"/>
          <w:spacing w:val="-1"/>
          <w:sz w:val="32"/>
          <w:szCs w:val="32"/>
        </w:rPr>
        <w:t>况说明</w:t>
      </w:r>
    </w:p>
    <w:p w14:paraId="5EB010B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firstLine="596" w:firstLineChars="200"/>
        <w:jc w:val="both"/>
        <w:textAlignment w:val="baseline"/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zh-CN" w:bidi="ar-SA"/>
        </w:rPr>
      </w:pPr>
      <w:r>
        <w:rPr>
          <w:rFonts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  <w:t>本部门当年无政府性基金预算财政拨款收入支出</w:t>
      </w:r>
      <w:r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zh-CN" w:bidi="ar-SA"/>
        </w:rPr>
        <w:t>。</w:t>
      </w:r>
    </w:p>
    <w:p w14:paraId="65FCB9B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48" w:line="560" w:lineRule="exact"/>
        <w:ind w:left="645" w:firstLine="0"/>
        <w:jc w:val="both"/>
        <w:textAlignment w:val="baseline"/>
        <w:rPr>
          <w:rFonts w:ascii="Times New Roman" w:hAnsi="Times New Roman" w:eastAsia="黑体" w:cs="黑体"/>
          <w:sz w:val="32"/>
          <w:szCs w:val="32"/>
        </w:rPr>
      </w:pPr>
      <w:r>
        <w:rPr>
          <w:rFonts w:ascii="Times New Roman" w:hAnsi="Times New Roman" w:eastAsia="黑体" w:cs="黑体"/>
          <w:spacing w:val="-1"/>
          <w:sz w:val="32"/>
          <w:szCs w:val="32"/>
        </w:rPr>
        <w:t>八、国有资本经营预算财政拨款支出决算情况说明</w:t>
      </w:r>
    </w:p>
    <w:p w14:paraId="34415C2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firstLine="596" w:firstLineChars="200"/>
        <w:jc w:val="both"/>
        <w:textAlignment w:val="baseline"/>
        <w:rPr>
          <w:rFonts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</w:pPr>
      <w:r>
        <w:rPr>
          <w:rFonts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  <w:t>本部门当年无国有资本经营预算财政拨款支出</w:t>
      </w:r>
      <w:r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zh-CN" w:bidi="ar-SA"/>
        </w:rPr>
        <w:t>。</w:t>
      </w:r>
    </w:p>
    <w:p w14:paraId="4003544C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0" w:line="560" w:lineRule="exact"/>
        <w:ind w:left="648" w:leftChars="0" w:firstLine="0"/>
        <w:jc w:val="both"/>
        <w:textAlignment w:val="baseline"/>
        <w:rPr>
          <w:rFonts w:ascii="Times New Roman" w:hAnsi="Times New Roman" w:eastAsia="黑体" w:cs="黑体"/>
          <w:spacing w:val="-1"/>
          <w:sz w:val="32"/>
          <w:szCs w:val="32"/>
        </w:rPr>
      </w:pPr>
      <w:r>
        <w:rPr>
          <w:rFonts w:ascii="Times New Roman" w:hAnsi="Times New Roman" w:eastAsia="黑体" w:cs="黑体"/>
          <w:spacing w:val="-1"/>
          <w:sz w:val="32"/>
          <w:szCs w:val="32"/>
        </w:rPr>
        <w:t>九、财政拨款“三公”经费支出决算情况说明</w:t>
      </w:r>
    </w:p>
    <w:p w14:paraId="60CAF14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411" w:firstLine="0"/>
        <w:jc w:val="both"/>
        <w:textAlignment w:val="baseline"/>
        <w:rPr>
          <w:rFonts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</w:pPr>
      <w:r>
        <w:rPr>
          <w:rFonts w:ascii="方正仿宋_GBK" w:hAnsi="方正仿宋_GBK" w:eastAsia="方正仿宋_GBK" w:cs="仿宋"/>
          <w:b/>
          <w:bCs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  <w:t>（一）“三公”经费财政拨款支出决算总体情况说明。</w:t>
      </w:r>
    </w:p>
    <w:p w14:paraId="2DD6E15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0" w:line="560" w:lineRule="exact"/>
        <w:ind w:left="16" w:firstLine="0"/>
        <w:jc w:val="both"/>
        <w:textAlignment w:val="baseline"/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  <w:t>本部门年初申请的预算均为项目经费，未单独申请</w:t>
      </w:r>
    </w:p>
    <w:p w14:paraId="7978C80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0" w:line="560" w:lineRule="exact"/>
        <w:ind w:left="16" w:firstLine="0"/>
        <w:jc w:val="both"/>
        <w:textAlignment w:val="baseline"/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zh-CN" w:bidi="ar-SA"/>
        </w:rPr>
        <w:t>“三公”经费</w:t>
      </w:r>
      <w:r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  <w:t>预算，且本单位为中央垂管单位，</w:t>
      </w:r>
    </w:p>
    <w:p w14:paraId="0448397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0" w:line="560" w:lineRule="exact"/>
        <w:ind w:left="16" w:firstLine="0"/>
        <w:jc w:val="both"/>
        <w:textAlignment w:val="baseline"/>
        <w:rPr>
          <w:rFonts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</w:pPr>
      <w:r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zh-CN" w:bidi="ar-SA"/>
        </w:rPr>
        <w:t>“三公”经费</w:t>
      </w:r>
      <w:bookmarkStart w:id="0" w:name="_GoBack"/>
      <w:bookmarkEnd w:id="0"/>
      <w:r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  <w:t>使用中央财政经费保障。</w:t>
      </w:r>
    </w:p>
    <w:p w14:paraId="573E04E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3" w:line="560" w:lineRule="exact"/>
        <w:ind w:left="646" w:firstLine="0"/>
        <w:jc w:val="both"/>
        <w:textAlignment w:val="baseline"/>
        <w:rPr>
          <w:rFonts w:ascii="Times New Roman" w:hAnsi="Times New Roman" w:eastAsia="黑体" w:cs="黑体"/>
          <w:sz w:val="32"/>
          <w:szCs w:val="32"/>
        </w:rPr>
      </w:pPr>
      <w:r>
        <w:rPr>
          <w:rFonts w:ascii="Times New Roman" w:hAnsi="Times New Roman" w:eastAsia="黑体" w:cs="黑体"/>
          <w:spacing w:val="-1"/>
          <w:sz w:val="32"/>
          <w:szCs w:val="32"/>
        </w:rPr>
        <w:t>十、机关运行经费支出说明</w:t>
      </w:r>
    </w:p>
    <w:p w14:paraId="745C2AB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2" w:line="560" w:lineRule="exact"/>
        <w:ind w:right="85" w:firstLine="596" w:firstLineChars="200"/>
        <w:jc w:val="both"/>
        <w:textAlignment w:val="baseline"/>
        <w:rPr>
          <w:rFonts w:ascii="Times New Roman" w:hAnsi="Times New Roman"/>
          <w:sz w:val="32"/>
          <w:highlight w:val="none"/>
        </w:rPr>
      </w:pPr>
      <w:r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  <w:t>本部门年初申请的预算均为项目经费，且本单位为中央垂管单位，</w:t>
      </w:r>
      <w:r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zh-CN" w:bidi="ar-SA"/>
        </w:rPr>
        <w:t>无机关运行经费支出</w:t>
      </w:r>
      <w:r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  <w:t>。</w:t>
      </w:r>
    </w:p>
    <w:p w14:paraId="509C74B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2" w:line="560" w:lineRule="exact"/>
        <w:ind w:left="646" w:firstLine="0"/>
        <w:jc w:val="both"/>
        <w:textAlignment w:val="baseline"/>
        <w:rPr>
          <w:rFonts w:ascii="Times New Roman" w:hAnsi="Times New Roman" w:eastAsia="黑体" w:cs="黑体"/>
          <w:sz w:val="32"/>
          <w:szCs w:val="32"/>
          <w:highlight w:val="none"/>
        </w:rPr>
      </w:pPr>
      <w:r>
        <w:rPr>
          <w:rFonts w:ascii="Times New Roman" w:hAnsi="Times New Roman" w:eastAsia="黑体" w:cs="黑体"/>
          <w:spacing w:val="-2"/>
          <w:sz w:val="32"/>
          <w:szCs w:val="32"/>
          <w:highlight w:val="none"/>
        </w:rPr>
        <w:t>十一、政府采购支出说明</w:t>
      </w:r>
    </w:p>
    <w:p w14:paraId="594C58B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2" w:firstLine="588" w:firstLineChars="200"/>
        <w:jc w:val="both"/>
        <w:textAlignment w:val="baseline"/>
        <w:rPr>
          <w:rFonts w:ascii="Times New Roman" w:hAnsi="Times New Roman" w:eastAsia="方正仿宋_GBK"/>
          <w:spacing w:val="-13"/>
          <w:sz w:val="32"/>
        </w:rPr>
      </w:pPr>
      <w:r>
        <w:rPr>
          <w:rFonts w:ascii="Times New Roman" w:hAnsi="Times New Roman" w:eastAsia="方正仿宋_GBK"/>
          <w:spacing w:val="-13"/>
          <w:sz w:val="32"/>
        </w:rPr>
        <w:t>2023年度部门名称政府采购支出总额</w:t>
      </w: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40.64</w:t>
      </w:r>
      <w:r>
        <w:rPr>
          <w:rFonts w:ascii="Times New Roman" w:hAnsi="Times New Roman" w:eastAsia="方正仿宋_GBK"/>
          <w:spacing w:val="-13"/>
          <w:sz w:val="32"/>
        </w:rPr>
        <w:t>万元，其中：</w:t>
      </w:r>
      <w:r>
        <w:rPr>
          <w:rFonts w:hint="eastAsia" w:ascii="Times New Roman" w:hAnsi="Times New Roman" w:eastAsia="方正仿宋_GBK"/>
          <w:spacing w:val="-13"/>
          <w:sz w:val="32"/>
          <w:lang w:eastAsia="zh-CN"/>
        </w:rPr>
        <w:t>政府</w:t>
      </w:r>
      <w:r>
        <w:rPr>
          <w:rFonts w:ascii="Times New Roman" w:hAnsi="Times New Roman" w:eastAsia="方正仿宋_GBK"/>
          <w:spacing w:val="-13"/>
          <w:sz w:val="32"/>
        </w:rPr>
        <w:t>采购货物支出</w:t>
      </w: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35.1</w:t>
      </w:r>
      <w:r>
        <w:rPr>
          <w:rFonts w:ascii="Times New Roman" w:hAnsi="Times New Roman" w:eastAsia="方正仿宋_GBK"/>
          <w:spacing w:val="-13"/>
          <w:sz w:val="32"/>
        </w:rPr>
        <w:t>万元、政府采购服务支出</w:t>
      </w: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5.54</w:t>
      </w:r>
      <w:r>
        <w:rPr>
          <w:rFonts w:ascii="Times New Roman" w:hAnsi="Times New Roman" w:eastAsia="方正仿宋_GBK"/>
          <w:spacing w:val="-13"/>
          <w:sz w:val="32"/>
        </w:rPr>
        <w:t>万元。</w:t>
      </w:r>
    </w:p>
    <w:p w14:paraId="0B32F55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0" w:line="560" w:lineRule="exact"/>
        <w:ind w:left="644" w:firstLine="0"/>
        <w:jc w:val="both"/>
        <w:textAlignment w:val="baseline"/>
        <w:rPr>
          <w:rFonts w:ascii="Times New Roman" w:hAnsi="Times New Roman" w:eastAsia="黑体" w:cs="黑体"/>
          <w:sz w:val="32"/>
          <w:szCs w:val="32"/>
          <w:highlight w:val="none"/>
        </w:rPr>
      </w:pPr>
      <w:r>
        <w:rPr>
          <w:rFonts w:ascii="Times New Roman" w:hAnsi="Times New Roman" w:eastAsia="黑体" w:cs="黑体"/>
          <w:spacing w:val="-1"/>
          <w:sz w:val="32"/>
          <w:szCs w:val="32"/>
          <w:highlight w:val="none"/>
        </w:rPr>
        <w:t>十二、国有资产占用情况说明</w:t>
      </w:r>
    </w:p>
    <w:p w14:paraId="2D15467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2" w:firstLine="596" w:firstLineChars="200"/>
        <w:jc w:val="both"/>
        <w:textAlignment w:val="baseline"/>
        <w:rPr>
          <w:rFonts w:ascii="方正仿宋_GBK" w:hAnsi="方正仿宋_GBK" w:eastAsia="方正仿宋_GBK"/>
          <w:spacing w:val="-11"/>
          <w:sz w:val="32"/>
        </w:rPr>
      </w:pPr>
      <w:r>
        <w:rPr>
          <w:rFonts w:ascii="方正仿宋_GBK" w:hAnsi="方正仿宋_GBK" w:eastAsia="方正仿宋_GBK"/>
          <w:spacing w:val="-11"/>
          <w:sz w:val="32"/>
          <w:lang w:val="en-US" w:eastAsia="zh-CN"/>
        </w:rPr>
        <w:t>本单位为中央垂管单位，尚未在区内进行资产录入</w:t>
      </w:r>
      <w:r>
        <w:rPr>
          <w:rFonts w:hint="default" w:ascii="方正仿宋_GBK" w:hAnsi="方正仿宋_GBK" w:eastAsia="方正仿宋_GBK"/>
          <w:spacing w:val="-11"/>
          <w:sz w:val="32"/>
          <w:lang w:val="en-US" w:eastAsia="zh-CN"/>
        </w:rPr>
        <w:t>。</w:t>
      </w:r>
    </w:p>
    <w:p w14:paraId="3DEF8C5C">
      <w:pPr>
        <w:keepNext w:val="0"/>
        <w:keepLines w:val="0"/>
        <w:pageBreakBefore w:val="0"/>
        <w:widowControl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0" w:line="560" w:lineRule="exact"/>
        <w:ind w:left="644" w:firstLine="0"/>
        <w:jc w:val="both"/>
        <w:textAlignment w:val="baseline"/>
        <w:outlineLvl w:val="0"/>
        <w:rPr>
          <w:rFonts w:ascii="Times New Roman" w:hAnsi="Times New Roman" w:eastAsia="黑体" w:cs="黑体"/>
          <w:spacing w:val="-2"/>
          <w:sz w:val="32"/>
          <w:szCs w:val="32"/>
          <w:highlight w:val="none"/>
        </w:rPr>
      </w:pPr>
      <w:r>
        <w:rPr>
          <w:rFonts w:ascii="Times New Roman" w:hAnsi="Times New Roman" w:eastAsia="黑体" w:cs="黑体"/>
          <w:spacing w:val="-2"/>
          <w:sz w:val="32"/>
          <w:szCs w:val="32"/>
          <w:highlight w:val="none"/>
        </w:rPr>
        <w:t>预算绩效情况说明</w:t>
      </w:r>
    </w:p>
    <w:p w14:paraId="7CB21DFB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0" w:line="560" w:lineRule="exact"/>
        <w:ind w:left="644" w:leftChars="0"/>
        <w:jc w:val="both"/>
        <w:textAlignment w:val="baseline"/>
        <w:outlineLvl w:val="0"/>
        <w:rPr>
          <w:rFonts w:ascii="Times New Roman" w:hAnsi="Times New Roman" w:eastAsia="方正仿宋_GBK" w:cs="仿宋"/>
          <w:b/>
          <w:bCs/>
          <w:snapToGrid w:val="0"/>
          <w:color w:val="000000"/>
          <w:spacing w:val="-13"/>
          <w:kern w:val="0"/>
          <w:sz w:val="32"/>
          <w:szCs w:val="32"/>
          <w:lang w:val="en-US" w:eastAsia="en-US" w:bidi="ar-SA"/>
        </w:rPr>
      </w:pPr>
      <w:r>
        <w:rPr>
          <w:rFonts w:hint="eastAsia" w:ascii="Times New Roman" w:hAnsi="Times New Roman" w:eastAsia="方正仿宋_GBK" w:cs="仿宋"/>
          <w:b/>
          <w:bCs/>
          <w:snapToGrid w:val="0"/>
          <w:color w:val="000000"/>
          <w:spacing w:val="-13"/>
          <w:kern w:val="0"/>
          <w:sz w:val="32"/>
          <w:szCs w:val="32"/>
          <w:lang w:val="en-US" w:eastAsia="zh-CN" w:bidi="ar-SA"/>
        </w:rPr>
        <w:t>（一）</w:t>
      </w:r>
      <w:r>
        <w:rPr>
          <w:rFonts w:ascii="Times New Roman" w:hAnsi="Times New Roman" w:eastAsia="方正仿宋_GBK" w:cs="仿宋"/>
          <w:b/>
          <w:bCs/>
          <w:snapToGrid w:val="0"/>
          <w:color w:val="000000"/>
          <w:spacing w:val="-13"/>
          <w:kern w:val="0"/>
          <w:sz w:val="32"/>
          <w:szCs w:val="32"/>
          <w:lang w:val="en-US" w:eastAsia="en-US" w:bidi="ar-SA"/>
        </w:rPr>
        <w:t>预算绩效管理工作开展情况</w:t>
      </w:r>
    </w:p>
    <w:p w14:paraId="3A8918F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17" w:right="92" w:firstLine="628" w:firstLineChars="200"/>
        <w:jc w:val="both"/>
        <w:textAlignment w:val="baseline"/>
        <w:rPr>
          <w:rFonts w:ascii="Times New Roman" w:hAnsi="Times New Roman" w:eastAsia="方正仿宋_GBK"/>
          <w:spacing w:val="-13"/>
          <w:sz w:val="32"/>
        </w:rPr>
      </w:pPr>
      <w:r>
        <w:rPr>
          <w:rFonts w:ascii="Times New Roman" w:hAnsi="Times New Roman"/>
          <w:spacing w:val="-3"/>
          <w:sz w:val="32"/>
          <w:highlight w:val="none"/>
        </w:rPr>
        <w:t>根</w:t>
      </w:r>
      <w:r>
        <w:rPr>
          <w:rFonts w:ascii="Times New Roman" w:hAnsi="Times New Roman" w:eastAsia="方正仿宋_GBK"/>
          <w:spacing w:val="-13"/>
          <w:sz w:val="32"/>
        </w:rPr>
        <w:t>据预算绩效管理要求，我</w:t>
      </w:r>
      <w:r>
        <w:rPr>
          <w:rFonts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  <w:t>部门(单位)组</w:t>
      </w:r>
      <w:r>
        <w:rPr>
          <w:rFonts w:ascii="Times New Roman" w:hAnsi="Times New Roman" w:eastAsia="方正仿宋_GBK"/>
          <w:spacing w:val="-13"/>
          <w:sz w:val="32"/>
        </w:rPr>
        <w:t>织对2023年度一般公共预算项目支出全面开展绩效自评，共涉及项目</w:t>
      </w: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1</w:t>
      </w:r>
      <w:r>
        <w:rPr>
          <w:rFonts w:ascii="Times New Roman" w:hAnsi="Times New Roman" w:eastAsia="方正仿宋_GBK"/>
          <w:spacing w:val="-13"/>
          <w:sz w:val="32"/>
        </w:rPr>
        <w:t>个</w:t>
      </w:r>
      <w:r>
        <w:rPr>
          <w:rFonts w:hint="eastAsia" w:ascii="Times New Roman" w:hAnsi="Times New Roman" w:eastAsia="方正仿宋_GBK"/>
          <w:spacing w:val="-13"/>
          <w:sz w:val="32"/>
          <w:lang w:eastAsia="zh-CN"/>
        </w:rPr>
        <w:t>，</w:t>
      </w:r>
      <w:r>
        <w:rPr>
          <w:rFonts w:ascii="Times New Roman" w:hAnsi="Times New Roman" w:eastAsia="方正仿宋_GBK"/>
          <w:spacing w:val="-13"/>
          <w:sz w:val="32"/>
        </w:rPr>
        <w:t>资金</w:t>
      </w: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4,727.16</w:t>
      </w:r>
      <w:r>
        <w:rPr>
          <w:rFonts w:ascii="Times New Roman" w:hAnsi="Times New Roman" w:eastAsia="方正仿宋_GBK"/>
          <w:spacing w:val="-13"/>
          <w:sz w:val="32"/>
        </w:rPr>
        <w:t>万元，占一般公共预算项目支出总额的</w:t>
      </w: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100.00</w:t>
      </w:r>
      <w:r>
        <w:rPr>
          <w:rFonts w:ascii="Times New Roman" w:hAnsi="Times New Roman" w:eastAsia="方正仿宋_GBK"/>
          <w:spacing w:val="-13"/>
          <w:sz w:val="32"/>
        </w:rPr>
        <w:t>%。从绩效评价情况来看，</w:t>
      </w:r>
      <w:r>
        <w:rPr>
          <w:rFonts w:hint="eastAsia" w:ascii="Times New Roman" w:hAnsi="Times New Roman" w:eastAsia="方正仿宋_GBK"/>
          <w:spacing w:val="-13"/>
          <w:sz w:val="32"/>
          <w:lang w:eastAsia="zh-CN"/>
        </w:rPr>
        <w:t>大</w:t>
      </w:r>
      <w:r>
        <w:rPr>
          <w:rFonts w:hint="eastAsia" w:ascii="Times New Roman" w:hAnsi="Times New Roman" w:eastAsia="方正仿宋_GBK"/>
          <w:spacing w:val="-13"/>
          <w:sz w:val="32"/>
        </w:rPr>
        <w:t>队领导高度重视，专门强调项目支出绩效自评工作的重要性和必要性，明确专人负责做好各项目绩效自评工作，确保绩效自评工作有序、有效开展</w:t>
      </w:r>
      <w:r>
        <w:rPr>
          <w:rFonts w:ascii="Times New Roman" w:hAnsi="Times New Roman" w:eastAsia="方正仿宋_GBK"/>
          <w:spacing w:val="-13"/>
          <w:sz w:val="32"/>
        </w:rPr>
        <w:t>。</w:t>
      </w:r>
    </w:p>
    <w:p w14:paraId="5E0E9E9E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6" w:line="560" w:lineRule="exact"/>
        <w:ind w:firstLine="599" w:firstLineChars="200"/>
        <w:jc w:val="both"/>
        <w:textAlignment w:val="baseline"/>
        <w:rPr>
          <w:rFonts w:ascii="Times New Roman" w:hAnsi="Times New Roman" w:eastAsia="方正仿宋_GBK" w:cs="仿宋"/>
          <w:b/>
          <w:bCs/>
          <w:snapToGrid w:val="0"/>
          <w:color w:val="000000"/>
          <w:spacing w:val="-13"/>
          <w:kern w:val="0"/>
          <w:sz w:val="32"/>
          <w:szCs w:val="32"/>
          <w:lang w:val="en-US" w:eastAsia="en-US" w:bidi="ar-SA"/>
        </w:rPr>
      </w:pPr>
      <w:r>
        <w:rPr>
          <w:rFonts w:hint="eastAsia" w:ascii="方正仿宋_GBK" w:hAnsi="方正仿宋_GBK" w:eastAsia="方正仿宋_GBK" w:cs="仿宋"/>
          <w:b/>
          <w:bCs/>
          <w:snapToGrid w:val="0"/>
          <w:color w:val="000000"/>
          <w:spacing w:val="-11"/>
          <w:kern w:val="0"/>
          <w:sz w:val="32"/>
          <w:szCs w:val="32"/>
          <w:lang w:val="en-US" w:eastAsia="zh-CN" w:bidi="ar-SA"/>
        </w:rPr>
        <w:t>（二）</w:t>
      </w:r>
      <w:r>
        <w:rPr>
          <w:rFonts w:hint="eastAsia" w:ascii="方正仿宋_GBK" w:hAnsi="方正仿宋_GBK" w:eastAsia="方正仿宋_GBK" w:cs="仿宋"/>
          <w:b/>
          <w:bCs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  <w:t>部门(单位)整体支出自评结果</w:t>
      </w:r>
    </w:p>
    <w:p w14:paraId="57E00D3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2" w:firstLine="596" w:firstLineChars="200"/>
        <w:jc w:val="both"/>
        <w:textAlignment w:val="baseline"/>
        <w:rPr>
          <w:rFonts w:ascii="Times New Roman" w:hAnsi="Times New Roman" w:eastAsia="方正仿宋_GBK"/>
          <w:spacing w:val="-13"/>
          <w:sz w:val="32"/>
        </w:rPr>
      </w:pPr>
      <w:r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  <w:t>我部门(单位)组织对</w:t>
      </w:r>
      <w:r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zh-CN" w:bidi="ar-SA"/>
        </w:rPr>
        <w:t>1</w:t>
      </w:r>
      <w:r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  <w:t>个部门(单位)开</w:t>
      </w:r>
      <w:r>
        <w:rPr>
          <w:rFonts w:ascii="Times New Roman" w:hAnsi="Times New Roman" w:eastAsia="方正仿宋_GBK"/>
          <w:spacing w:val="-13"/>
          <w:sz w:val="32"/>
        </w:rPr>
        <w:t>展整体支出绩效自评，资金</w:t>
      </w: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3,676.7</w:t>
      </w:r>
      <w:r>
        <w:rPr>
          <w:rFonts w:ascii="Times New Roman" w:hAnsi="Times New Roman" w:eastAsia="方正仿宋_GBK"/>
          <w:spacing w:val="-13"/>
          <w:sz w:val="32"/>
        </w:rPr>
        <w:t>万元，从评价情况来看，</w:t>
      </w:r>
      <w:r>
        <w:rPr>
          <w:rFonts w:hint="eastAsia" w:ascii="Times New Roman" w:hAnsi="Times New Roman" w:eastAsia="方正仿宋_GBK"/>
          <w:spacing w:val="-13"/>
          <w:sz w:val="32"/>
        </w:rPr>
        <w:t>根据项目的产出数量、质量、时效以及经济效益、社会效益、服务对象满意度等。</w:t>
      </w:r>
    </w:p>
    <w:p w14:paraId="472C1151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6" w:line="560" w:lineRule="exact"/>
        <w:ind w:firstLine="599" w:firstLineChars="200"/>
        <w:jc w:val="both"/>
        <w:textAlignment w:val="baseline"/>
        <w:rPr>
          <w:rFonts w:hint="eastAsia" w:ascii="方正仿宋_GBK" w:hAnsi="方正仿宋_GBK" w:eastAsia="方正仿宋_GBK" w:cs="仿宋"/>
          <w:b/>
          <w:bCs/>
          <w:snapToGrid w:val="0"/>
          <w:color w:val="000000"/>
          <w:spacing w:val="-11"/>
          <w:kern w:val="0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仿宋"/>
          <w:b/>
          <w:bCs/>
          <w:snapToGrid w:val="0"/>
          <w:color w:val="000000"/>
          <w:spacing w:val="-11"/>
          <w:kern w:val="0"/>
          <w:sz w:val="32"/>
          <w:szCs w:val="32"/>
          <w:lang w:val="en-US" w:eastAsia="zh-CN" w:bidi="ar-SA"/>
        </w:rPr>
        <w:t>（三）项目支出自评结果</w:t>
      </w:r>
    </w:p>
    <w:p w14:paraId="7241DC6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2" w:firstLine="596" w:firstLineChars="200"/>
        <w:jc w:val="both"/>
        <w:textAlignment w:val="baseline"/>
        <w:rPr>
          <w:rFonts w:ascii="Times New Roman" w:hAnsi="Times New Roman" w:eastAsia="方正仿宋_GBK"/>
          <w:spacing w:val="-13"/>
          <w:sz w:val="32"/>
        </w:rPr>
      </w:pPr>
      <w:r>
        <w:rPr>
          <w:rFonts w:ascii="方正仿宋_GBK" w:hAnsi="方正仿宋_GBK" w:eastAsia="方正仿宋_GBK"/>
          <w:spacing w:val="-11"/>
          <w:sz w:val="32"/>
          <w:lang w:val="en-US" w:eastAsia="zh-CN"/>
        </w:rPr>
        <w:t>我部门(单位)</w:t>
      </w:r>
      <w:r>
        <w:rPr>
          <w:rFonts w:ascii="Times New Roman" w:hAnsi="Times New Roman" w:eastAsia="方正仿宋_GBK"/>
          <w:spacing w:val="-13"/>
          <w:sz w:val="32"/>
        </w:rPr>
        <w:t>在202</w:t>
      </w: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3</w:t>
      </w:r>
      <w:r>
        <w:rPr>
          <w:rFonts w:ascii="Times New Roman" w:hAnsi="Times New Roman" w:eastAsia="方正仿宋_GBK"/>
          <w:spacing w:val="-13"/>
          <w:sz w:val="32"/>
        </w:rPr>
        <w:t>年度部门决算中反映所有项目绩效自评结果，共涉及</w:t>
      </w: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1</w:t>
      </w:r>
      <w:r>
        <w:rPr>
          <w:rFonts w:ascii="Times New Roman" w:hAnsi="Times New Roman" w:eastAsia="方正仿宋_GBK"/>
          <w:spacing w:val="-13"/>
          <w:sz w:val="32"/>
        </w:rPr>
        <w:t>个一级项目。</w:t>
      </w:r>
    </w:p>
    <w:p w14:paraId="444DFE2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2" w:firstLine="588" w:firstLineChars="200"/>
        <w:jc w:val="both"/>
        <w:textAlignment w:val="baseline"/>
        <w:rPr>
          <w:rFonts w:ascii="Times New Roman" w:hAnsi="Times New Roman" w:eastAsia="方正仿宋_GBK"/>
          <w:spacing w:val="-13"/>
          <w:sz w:val="32"/>
        </w:rPr>
      </w:pPr>
      <w:r>
        <w:rPr>
          <w:rFonts w:ascii="Times New Roman" w:hAnsi="Times New Roman" w:eastAsia="方正仿宋_GBK"/>
          <w:spacing w:val="-13"/>
          <w:sz w:val="32"/>
        </w:rPr>
        <w:t>1.</w:t>
      </w:r>
      <w:r>
        <w:rPr>
          <w:rFonts w:hint="eastAsia" w:ascii="Times New Roman" w:hAnsi="Times New Roman" w:eastAsia="方正仿宋_GBK"/>
          <w:spacing w:val="-13"/>
          <w:sz w:val="32"/>
        </w:rPr>
        <w:t>国家综合性消防救援队伍支出</w:t>
      </w:r>
      <w:r>
        <w:rPr>
          <w:rFonts w:ascii="Times New Roman" w:hAnsi="Times New Roman" w:eastAsia="方正仿宋_GBK"/>
          <w:spacing w:val="-13"/>
          <w:sz w:val="32"/>
        </w:rPr>
        <w:t>项目绩效自评综述：项目全年预算数为</w:t>
      </w: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3,762.9</w:t>
      </w:r>
      <w:r>
        <w:rPr>
          <w:rFonts w:ascii="Times New Roman" w:hAnsi="Times New Roman" w:eastAsia="方正仿宋_GBK"/>
          <w:spacing w:val="-13"/>
          <w:sz w:val="32"/>
        </w:rPr>
        <w:t>万元，执行数为</w:t>
      </w: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3,762.9</w:t>
      </w:r>
      <w:r>
        <w:rPr>
          <w:rFonts w:ascii="Times New Roman" w:hAnsi="Times New Roman" w:eastAsia="方正仿宋_GBK"/>
          <w:spacing w:val="-13"/>
          <w:sz w:val="32"/>
        </w:rPr>
        <w:t>万元，完成预算的</w:t>
      </w: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100.00</w:t>
      </w:r>
      <w:r>
        <w:rPr>
          <w:rFonts w:ascii="Times New Roman" w:hAnsi="Times New Roman" w:eastAsia="方正仿宋_GBK"/>
          <w:spacing w:val="-13"/>
          <w:sz w:val="32"/>
        </w:rPr>
        <w:t>%。主要产出和效益是：一是</w:t>
      </w:r>
      <w:r>
        <w:rPr>
          <w:rFonts w:hint="eastAsia" w:ascii="Times New Roman" w:hAnsi="Times New Roman" w:eastAsia="方正仿宋_GBK"/>
          <w:spacing w:val="-13"/>
          <w:sz w:val="32"/>
        </w:rPr>
        <w:t>以宣贯下佛按法律法规为契机，压实各部门消防安全责任</w:t>
      </w:r>
      <w:r>
        <w:rPr>
          <w:rFonts w:ascii="Times New Roman" w:hAnsi="Times New Roman" w:eastAsia="方正仿宋_GBK"/>
          <w:spacing w:val="-13"/>
          <w:sz w:val="32"/>
        </w:rPr>
        <w:t>；二是</w:t>
      </w:r>
      <w:r>
        <w:rPr>
          <w:rFonts w:hint="eastAsia" w:ascii="Times New Roman" w:hAnsi="Times New Roman" w:eastAsia="方正仿宋_GBK"/>
          <w:spacing w:val="-13"/>
          <w:sz w:val="32"/>
        </w:rPr>
        <w:t>以消防安全信息化为突破口，提升治理创新能力</w:t>
      </w:r>
      <w:r>
        <w:rPr>
          <w:rFonts w:hint="eastAsia" w:ascii="Times New Roman" w:hAnsi="Times New Roman" w:eastAsia="方正仿宋_GBK"/>
          <w:spacing w:val="-13"/>
          <w:sz w:val="32"/>
          <w:lang w:eastAsia="zh-CN"/>
        </w:rPr>
        <w:t>；三是以“十四五”规划为引领，大力推进公共消防设施建设；四是以消防安全宣传教育为载体，提升全民消防安全素质</w:t>
      </w:r>
      <w:r>
        <w:rPr>
          <w:rFonts w:ascii="Times New Roman" w:hAnsi="Times New Roman" w:eastAsia="方正仿宋_GBK"/>
          <w:spacing w:val="-13"/>
          <w:sz w:val="32"/>
        </w:rPr>
        <w:t>。发现的问题及原因：一是</w:t>
      </w:r>
      <w:r>
        <w:rPr>
          <w:rFonts w:hint="eastAsia" w:ascii="Times New Roman" w:hAnsi="Times New Roman" w:eastAsia="方正仿宋_GBK"/>
          <w:spacing w:val="-13"/>
          <w:sz w:val="32"/>
        </w:rPr>
        <w:t>是在项目绩效目标与指标设定上不够科学</w:t>
      </w:r>
      <w:r>
        <w:rPr>
          <w:rFonts w:ascii="Times New Roman" w:hAnsi="Times New Roman" w:eastAsia="方正仿宋_GBK"/>
          <w:spacing w:val="-13"/>
          <w:sz w:val="32"/>
        </w:rPr>
        <w:t>；二是</w:t>
      </w:r>
      <w:r>
        <w:rPr>
          <w:rFonts w:hint="eastAsia" w:ascii="Times New Roman" w:hAnsi="Times New Roman" w:eastAsia="方正仿宋_GBK"/>
          <w:spacing w:val="-13"/>
          <w:sz w:val="32"/>
        </w:rPr>
        <w:t>绩效标准表述不够准确，整体逻辑关系不够清晰</w:t>
      </w:r>
      <w:r>
        <w:rPr>
          <w:rFonts w:hint="eastAsia" w:ascii="Times New Roman" w:hAnsi="Times New Roman" w:eastAsia="方正仿宋_GBK"/>
          <w:spacing w:val="-13"/>
          <w:sz w:val="32"/>
          <w:lang w:eastAsia="zh-CN"/>
        </w:rPr>
        <w:t>，</w:t>
      </w:r>
      <w:r>
        <w:rPr>
          <w:rFonts w:hint="eastAsia" w:ascii="Times New Roman" w:hAnsi="Times New Roman" w:eastAsia="方正仿宋_GBK"/>
          <w:spacing w:val="-13"/>
          <w:sz w:val="32"/>
        </w:rPr>
        <w:t>在评价工作中，对部分指标的支撑材料收集难度较大</w:t>
      </w:r>
      <w:r>
        <w:rPr>
          <w:rFonts w:ascii="Times New Roman" w:hAnsi="Times New Roman" w:eastAsia="方正仿宋_GBK"/>
          <w:spacing w:val="-13"/>
          <w:sz w:val="32"/>
        </w:rPr>
        <w:t>。下一步改进措施：</w:t>
      </w:r>
      <w:r>
        <w:rPr>
          <w:rFonts w:hint="eastAsia" w:ascii="Times New Roman" w:hAnsi="Times New Roman" w:eastAsia="方正仿宋_GBK"/>
          <w:spacing w:val="-13"/>
          <w:sz w:val="32"/>
        </w:rPr>
        <w:t>大队在绩效目标的设定方面，绩效目标将会更准确化，使项目目标更简洁，更加明晰。项目绩效指标将结合项目明细具体设置，尽可能全面、客观的反映项目产出及效果，使绩效评价更加科学合理</w:t>
      </w:r>
      <w:r>
        <w:rPr>
          <w:rFonts w:ascii="Times New Roman" w:hAnsi="Times New Roman" w:eastAsia="方正仿宋_GBK"/>
          <w:spacing w:val="-13"/>
          <w:sz w:val="32"/>
        </w:rPr>
        <w:t>。</w:t>
      </w:r>
    </w:p>
    <w:p w14:paraId="413E33A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2" w:firstLine="599" w:firstLineChars="200"/>
        <w:jc w:val="both"/>
        <w:textAlignment w:val="baseline"/>
        <w:rPr>
          <w:rFonts w:ascii="方正仿宋_GBK" w:hAnsi="方正仿宋_GBK" w:eastAsia="方正仿宋_GBK"/>
          <w:b/>
          <w:bCs/>
          <w:spacing w:val="-11"/>
          <w:sz w:val="32"/>
          <w:lang w:val="en-US" w:eastAsia="zh-CN"/>
        </w:rPr>
      </w:pPr>
      <w:r>
        <w:rPr>
          <w:rFonts w:hint="eastAsia" w:ascii="方正仿宋_GBK" w:hAnsi="方正仿宋_GBK" w:eastAsia="方正仿宋_GBK"/>
          <w:b/>
          <w:bCs/>
          <w:spacing w:val="-11"/>
          <w:sz w:val="32"/>
          <w:lang w:val="en-US" w:eastAsia="zh-CN"/>
        </w:rPr>
        <w:t>（四）</w:t>
      </w:r>
      <w:r>
        <w:rPr>
          <w:rFonts w:ascii="方正仿宋_GBK" w:hAnsi="方正仿宋_GBK" w:eastAsia="方正仿宋_GBK"/>
          <w:b/>
          <w:bCs/>
          <w:spacing w:val="-11"/>
          <w:sz w:val="32"/>
          <w:lang w:val="en-US" w:eastAsia="zh-CN"/>
        </w:rPr>
        <w:t>绩效自评结果应用情况</w:t>
      </w:r>
    </w:p>
    <w:p w14:paraId="585AFA8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2" w:firstLine="588" w:firstLineChars="200"/>
        <w:jc w:val="both"/>
        <w:textAlignment w:val="baseline"/>
        <w:rPr>
          <w:rFonts w:ascii="Times New Roman" w:hAnsi="Times New Roman" w:eastAsia="方正仿宋_GBK"/>
          <w:spacing w:val="-13"/>
          <w:sz w:val="32"/>
        </w:rPr>
      </w:pP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1.</w:t>
      </w:r>
      <w:r>
        <w:rPr>
          <w:rFonts w:ascii="Times New Roman" w:hAnsi="Times New Roman" w:eastAsia="方正仿宋_GBK"/>
          <w:spacing w:val="-13"/>
          <w:sz w:val="32"/>
        </w:rPr>
        <w:t>提高对绩效评价结果应用重要性的认识。大队提高重视绩效评价结果的应用工作，下一步将充分发挥绩效评价以评促管理、促效能，积极探索和建立一套预算管理相结合、多渠道应用评价结果的有效机制，努力提高绩效意思和财政资金使用效能。</w:t>
      </w:r>
    </w:p>
    <w:p w14:paraId="1E29373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2" w:firstLine="588" w:firstLineChars="200"/>
        <w:jc w:val="both"/>
        <w:textAlignment w:val="baseline"/>
        <w:rPr>
          <w:rFonts w:hint="eastAsia" w:ascii="Times New Roman" w:hAnsi="Times New Roman" w:eastAsia="方正仿宋_GBK"/>
          <w:spacing w:val="-13"/>
          <w:sz w:val="32"/>
        </w:rPr>
      </w:pP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2.</w:t>
      </w:r>
      <w:r>
        <w:rPr>
          <w:rFonts w:hint="default" w:ascii="Times New Roman" w:hAnsi="Times New Roman" w:eastAsia="方正仿宋_GBK"/>
          <w:spacing w:val="-13"/>
          <w:sz w:val="32"/>
        </w:rPr>
        <w:t>建立与部门预算相结合的应用机制。大队将加强内部协调与配合，建立与部门预算相结合的应用机制，实现绩效评价与部门预算的有机结合，促进财政资金的合理分配与有效使用。</w:t>
      </w:r>
    </w:p>
    <w:p w14:paraId="29A36BEE">
      <w:pPr>
        <w:pStyle w:val="2"/>
        <w:spacing w:before="45" w:line="332" w:lineRule="auto"/>
        <w:ind w:left="35" w:right="4" w:firstLine="605"/>
        <w:jc w:val="both"/>
        <w:rPr>
          <w:highlight w:val="yellow"/>
        </w:rPr>
      </w:pPr>
    </w:p>
    <w:p w14:paraId="40E3A9F6">
      <w:pPr>
        <w:spacing w:before="143" w:line="222" w:lineRule="auto"/>
        <w:ind w:left="1006"/>
        <w:jc w:val="both"/>
        <w:rPr>
          <w:rFonts w:ascii="黑体" w:hAnsi="黑体" w:eastAsia="黑体" w:cs="黑体"/>
          <w:spacing w:val="-2"/>
          <w:sz w:val="44"/>
          <w:szCs w:val="44"/>
        </w:rPr>
        <w:sectPr>
          <w:footerReference r:id="rId8" w:type="default"/>
          <w:pgSz w:w="11900" w:h="16840"/>
          <w:pgMar w:top="1431" w:right="1686" w:bottom="1717" w:left="1785" w:header="0" w:footer="1468" w:gutter="0"/>
          <w:cols w:space="720" w:num="1"/>
        </w:sectPr>
      </w:pPr>
    </w:p>
    <w:p w14:paraId="10FFF89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3" w:line="560" w:lineRule="exact"/>
        <w:ind w:left="0"/>
        <w:jc w:val="center"/>
        <w:textAlignment w:val="baseline"/>
        <w:rPr>
          <w:rFonts w:ascii="黑体" w:hAnsi="黑体" w:eastAsia="黑体" w:cs="黑体"/>
          <w:sz w:val="44"/>
          <w:szCs w:val="44"/>
        </w:rPr>
      </w:pPr>
      <w:r>
        <w:rPr>
          <w:rFonts w:ascii="黑体" w:hAnsi="黑体" w:eastAsia="黑体" w:cs="黑体"/>
          <w:spacing w:val="-2"/>
          <w:sz w:val="44"/>
          <w:szCs w:val="44"/>
        </w:rPr>
        <w:t>第四部分2023年重点工作完成情况</w:t>
      </w:r>
    </w:p>
    <w:p w14:paraId="3B4366F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ascii="Arial"/>
          <w:sz w:val="21"/>
        </w:rPr>
      </w:pPr>
    </w:p>
    <w:p w14:paraId="43C55E45"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1468" w:right="0" w:hanging="703"/>
        <w:jc w:val="both"/>
        <w:textAlignment w:val="baseline"/>
        <w:rPr>
          <w:spacing w:val="-14"/>
        </w:rPr>
      </w:pPr>
      <w:r>
        <w:rPr>
          <w:rFonts w:ascii="黑体" w:hAnsi="黑体" w:eastAsia="黑体" w:cs="黑体"/>
          <w:spacing w:val="-2"/>
        </w:rPr>
        <w:t>重点工作事项标题</w:t>
      </w:r>
    </w:p>
    <w:p w14:paraId="1273AF8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0" w:line="560" w:lineRule="exact"/>
        <w:ind w:left="16" w:firstLine="681"/>
        <w:jc w:val="both"/>
        <w:textAlignment w:val="baseline"/>
        <w:rPr>
          <w:rFonts w:hint="eastAsia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</w:pPr>
      <w:r>
        <w:rPr>
          <w:rFonts w:hint="default" w:eastAsia="方正仿宋_GBK"/>
          <w:spacing w:val="-14"/>
          <w:sz w:val="32"/>
        </w:rPr>
        <w:t>1</w:t>
      </w:r>
      <w:r>
        <w:rPr>
          <w:rFonts w:hint="eastAsia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  <w:t>、强化管理走出标准步伐。</w:t>
      </w:r>
      <w:r>
        <w:rPr>
          <w:rFonts w:hint="default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  <w:t>大队积极适应新形势下队伍建设要求，以条令纲要为准绳，以“两严两准”为抓手，精准提升队伍正规化建设水平。一是规范管理秩序。大队党委每月进行队伍管理教育形势分析，及时查摆整改管理教育工作存在的问题。扎实开展条令纲要学习月、队伍管理教育专项整治等活动，严格按照“两严两准”要求抓一日生活制度落实，着力加强双休日、节假日、“八小时以外”和“人、车、酒、网、贷、赌”等重点环节把控，持续规范“四个秩序”。二是紧盯安全管理。持续推进安全“九无”三年创建，抓实安全教育、安全分析和安全检查，完善安全基础设施，常态化开展涉赌涉贷、涉黄涉舆、涉酒问题、训战安全等专项排查整治。三是加大督查力度。大队主官落实日常检查督导工作，大队坚持对各队站值班值守、执勤备战、日常管理、制度执行等工作进行现场督导检查，对督查发现的问题进行曝光督促整改，确保了队伍“四个秩序”井然有序。四是加强专职队员管理。建立完善政府专职消防员“招、管、训、用、保”科学管理机制，</w:t>
      </w:r>
      <w:r>
        <w:rPr>
          <w:rFonts w:hint="eastAsia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zh-CN" w:bidi="ar-SA"/>
        </w:rPr>
        <w:t>常态化开展</w:t>
      </w:r>
      <w:r>
        <w:rPr>
          <w:rFonts w:hint="default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  <w:t>入职、任职、晋级和骨干“四类培训”，20余名专职骨干走上基层管理岗位。</w:t>
      </w:r>
    </w:p>
    <w:p w14:paraId="5D98148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0" w:line="560" w:lineRule="exact"/>
        <w:ind w:left="16" w:firstLine="681"/>
        <w:jc w:val="both"/>
        <w:textAlignment w:val="baseline"/>
        <w:rPr>
          <w:rFonts w:hint="eastAsia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</w:pPr>
      <w:r>
        <w:rPr>
          <w:rFonts w:hint="default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  <w:t>2、防范风险净化消防环境。大队着力解决人民群众关切消防安全问题，致力净化全区消防安全环境，确保全区消防安全形势稳定。一是推进消防责任落实。提请区委常委会、政府常务会（办公会）每月听取消防工作报告、形成党政领导带队检查督导消防工作常态机制。牢牢抓住纪委督办、平安考核、年度消防工作考核等“牛鼻子”和约谈警示、督办交办、问责处理等“指挥棒”，实体化运行区消防安全委员会工作平台，撬动各方落实消防安全责任。二是开展消防隐患综合治理。结合消防安全专项整治三年行动和消防安全大检查各项重点任务，以党的二十大消防安保任务为主线，紧盯高层建筑、商业综合体、自建房、老旧小区、文物建筑、工业物流园区等重点部位和重大火灾隐患、危化品、城镇燃气等重点领域，开展综合治理，严密排查消防安全隐患。三是打牢群防群治基础。充分发动街道、公安派出所、消防网格员和消防志愿者等多种形式基层消防力量，强化警消联防联勤，加强消防安全网格管理，建成140个社区微型消防站，落实联训联勤联调机制，筑牢社会面火灾防控基础。四是丰富宣传培训形式。加强消防宣传固定阵地建设，深化消防宣传“五进”工作。全面落实市支队优化消防执法营商环境“十一项措施”，持续开展“党员干部下基层察民情解民忧暖民心”实践活动，推行消防政务服务网上办理，及时处理人民群众关心的消防问题，办理“市民热线”反映问题。</w:t>
      </w:r>
    </w:p>
    <w:p w14:paraId="04A2B39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0" w:line="560" w:lineRule="exact"/>
        <w:ind w:left="16" w:firstLine="681"/>
        <w:jc w:val="both"/>
        <w:textAlignment w:val="baseline"/>
        <w:rPr>
          <w:rFonts w:hint="eastAsia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</w:pPr>
      <w:r>
        <w:rPr>
          <w:rFonts w:hint="default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  <w:t>3、立足实战锤炼过硬本领。立足实战锤炼过硬本领。大队把提质强能作为队伍重点任务，对标“全灾种、大应急”的建队目标，加强岗位练兵，推动应急救援体系建设，提升灭火救援能力。一是严抓岗位练兵。坚持落实党委“议训”，制定队伍年度业务训练计划和相应的奖惩措施，实行每月一小考、每季度一大考，全面了解掌握训练成果。在支队组织的尖兵比武对抗赛、高层建筑灭火救人操、地下灭火救人操等比武竞赛中，大队所属各消防救援站成绩排名靠前。二是优化作战模式。坚持按纲施训和按需训练相结合，紧盯作战薄弱环节，持续夯实灭火救援基础工作，修订完善典型事故灾害和辖区典型灾害事故类型预案，持续优化队伍编成，强化车辆装备配置，不断提升队伍处置火灾的能力。三是注重人才培养。在培养专业人才和建立专业队伍上做文章，选派人员参加地震、水域、无人机、医疗救护等各类专业培训，不仅提高个人的素质，也提升了队伍整体灭火救援实战能力。四是完善联动机制。实施联勤联训联调模式，经常性开展实战演练、随时拉动和技能比武。加强与公安、应急、城管、建设、医疗、供水、供电、供气等部门和有资质的社会救援力量的协作，推动建立应急响应统筹协调机制。</w:t>
      </w:r>
    </w:p>
    <w:p w14:paraId="257563A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0" w:line="560" w:lineRule="exact"/>
        <w:ind w:left="16" w:firstLine="681"/>
        <w:jc w:val="both"/>
        <w:textAlignment w:val="baseline"/>
        <w:rPr>
          <w:rFonts w:hint="default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</w:pPr>
      <w:r>
        <w:rPr>
          <w:rFonts w:hint="default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  <w:t>4、争取支持确保保障到位。推动队站建设。目前塔子湖消防站正在施工中，力争年底</w:t>
      </w:r>
      <w:r>
        <w:rPr>
          <w:rFonts w:hint="eastAsia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zh-CN" w:bidi="ar-SA"/>
        </w:rPr>
        <w:t>完成主体建设</w:t>
      </w:r>
      <w:r>
        <w:rPr>
          <w:rFonts w:hint="default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  <w:t>；长湖地消防站当前也正在按照责任目标推进各项手续的办理中。</w:t>
      </w:r>
    </w:p>
    <w:p w14:paraId="3D97D057">
      <w:pPr>
        <w:rPr>
          <w:rFonts w:hint="default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</w:pPr>
      <w:r>
        <w:rPr>
          <w:rFonts w:hint="default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  <w:br w:type="page"/>
      </w:r>
    </w:p>
    <w:p w14:paraId="42FA8F9A">
      <w:pPr>
        <w:spacing w:before="143" w:line="222" w:lineRule="auto"/>
        <w:ind w:left="2447"/>
        <w:jc w:val="both"/>
        <w:outlineLvl w:val="3"/>
        <w:rPr>
          <w:rFonts w:ascii="黑体" w:hAnsi="黑体" w:eastAsia="黑体" w:cs="黑体"/>
          <w:sz w:val="44"/>
          <w:szCs w:val="44"/>
        </w:rPr>
      </w:pPr>
      <w:r>
        <w:rPr>
          <w:rFonts w:ascii="黑体" w:hAnsi="黑体" w:eastAsia="黑体" w:cs="黑体"/>
          <w:spacing w:val="-2"/>
          <w:sz w:val="44"/>
          <w:szCs w:val="44"/>
        </w:rPr>
        <w:t>第五部分名词解释</w:t>
      </w:r>
    </w:p>
    <w:p w14:paraId="12CB6275">
      <w:pPr>
        <w:spacing w:line="398" w:lineRule="auto"/>
        <w:jc w:val="both"/>
        <w:rPr>
          <w:rFonts w:ascii="Arial"/>
          <w:sz w:val="21"/>
        </w:rPr>
      </w:pPr>
    </w:p>
    <w:p w14:paraId="310C56A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90" w:firstLine="656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4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4"/>
          <w:lang w:val="en-US" w:eastAsia="zh-CN"/>
        </w:rPr>
        <w:t>一</w:t>
      </w:r>
      <w:r>
        <w:rPr>
          <w:rFonts w:hint="eastAsia" w:ascii="方正仿宋_GBK" w:hAnsi="方正仿宋_GBK" w:eastAsia="方正仿宋_GBK" w:cs="方正仿宋_GBK"/>
          <w:spacing w:val="4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4"/>
        </w:rPr>
        <w:t>一般公共预算财政拨款收入：指</w:t>
      </w:r>
      <w:r>
        <w:rPr>
          <w:rFonts w:hint="eastAsia" w:ascii="方正仿宋_GBK" w:hAnsi="方正仿宋_GBK" w:eastAsia="方正仿宋_GBK" w:cs="方正仿宋_GBK"/>
          <w:spacing w:val="4"/>
          <w:lang w:val="en-US" w:eastAsia="zh-CN"/>
        </w:rPr>
        <w:t>区</w:t>
      </w:r>
      <w:r>
        <w:rPr>
          <w:rFonts w:hint="eastAsia" w:ascii="方正仿宋_GBK" w:hAnsi="方正仿宋_GBK" w:eastAsia="方正仿宋_GBK" w:cs="方正仿宋_GBK"/>
          <w:spacing w:val="4"/>
        </w:rPr>
        <w:t>级财政一般公共预</w:t>
      </w:r>
      <w:r>
        <w:rPr>
          <w:rFonts w:hint="eastAsia" w:ascii="方正仿宋_GBK" w:hAnsi="方正仿宋_GBK" w:eastAsia="方正仿宋_GBK" w:cs="方正仿宋_GBK"/>
          <w:spacing w:val="-1"/>
        </w:rPr>
        <w:t>算当年拨付的资金。</w:t>
      </w:r>
    </w:p>
    <w:p w14:paraId="29F4081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74" w:firstLine="656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4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4"/>
          <w:lang w:val="en-US" w:eastAsia="zh-CN"/>
        </w:rPr>
        <w:t>二</w:t>
      </w:r>
      <w:r>
        <w:rPr>
          <w:rFonts w:hint="eastAsia" w:ascii="方正仿宋_GBK" w:hAnsi="方正仿宋_GBK" w:eastAsia="方正仿宋_GBK" w:cs="方正仿宋_GBK"/>
          <w:spacing w:val="4"/>
          <w:lang w:eastAsia="zh-CN"/>
        </w:rPr>
        <w:t>）政</w:t>
      </w:r>
      <w:r>
        <w:rPr>
          <w:rFonts w:hint="eastAsia" w:ascii="方正仿宋_GBK" w:hAnsi="方正仿宋_GBK" w:eastAsia="方正仿宋_GBK" w:cs="方正仿宋_GBK"/>
          <w:spacing w:val="-7"/>
        </w:rPr>
        <w:t>府性基金预算财政拨款收入：指</w:t>
      </w:r>
      <w:r>
        <w:rPr>
          <w:rFonts w:hint="eastAsia" w:ascii="方正仿宋_GBK" w:hAnsi="方正仿宋_GBK" w:eastAsia="方正仿宋_GBK" w:cs="方正仿宋_GBK"/>
          <w:spacing w:val="4"/>
          <w:lang w:val="en-US" w:eastAsia="zh-CN"/>
        </w:rPr>
        <w:t>区</w:t>
      </w:r>
      <w:r>
        <w:rPr>
          <w:rFonts w:hint="eastAsia" w:ascii="方正仿宋_GBK" w:hAnsi="方正仿宋_GBK" w:eastAsia="方正仿宋_GBK" w:cs="方正仿宋_GBK"/>
          <w:spacing w:val="4"/>
        </w:rPr>
        <w:t>级</w:t>
      </w:r>
      <w:r>
        <w:rPr>
          <w:rFonts w:hint="eastAsia" w:ascii="方正仿宋_GBK" w:hAnsi="方正仿宋_GBK" w:eastAsia="方正仿宋_GBK" w:cs="方正仿宋_GBK"/>
          <w:spacing w:val="-7"/>
        </w:rPr>
        <w:t>财政政</w:t>
      </w:r>
      <w:r>
        <w:rPr>
          <w:rFonts w:hint="eastAsia" w:ascii="方正仿宋_GBK" w:hAnsi="方正仿宋_GBK" w:eastAsia="方正仿宋_GBK" w:cs="方正仿宋_GBK"/>
          <w:spacing w:val="-8"/>
        </w:rPr>
        <w:t>府性基金</w:t>
      </w:r>
      <w:r>
        <w:rPr>
          <w:rFonts w:hint="eastAsia" w:ascii="方正仿宋_GBK" w:hAnsi="方正仿宋_GBK" w:eastAsia="方正仿宋_GBK" w:cs="方正仿宋_GBK"/>
          <w:spacing w:val="-1"/>
        </w:rPr>
        <w:t>预算当年拨付的资金。</w:t>
      </w:r>
    </w:p>
    <w:p w14:paraId="45EBBCE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79" w:firstLine="608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8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8"/>
          <w:lang w:val="en-US" w:eastAsia="zh-CN"/>
        </w:rPr>
        <w:t>三</w:t>
      </w:r>
      <w:r>
        <w:rPr>
          <w:rFonts w:hint="eastAsia" w:ascii="方正仿宋_GBK" w:hAnsi="方正仿宋_GBK" w:eastAsia="方正仿宋_GBK" w:cs="方正仿宋_GBK"/>
          <w:spacing w:val="-8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8"/>
        </w:rPr>
        <w:t>国有资本经营预算财政拨款收入：指</w:t>
      </w:r>
      <w:r>
        <w:rPr>
          <w:rFonts w:hint="eastAsia" w:ascii="方正仿宋_GBK" w:hAnsi="方正仿宋_GBK" w:eastAsia="方正仿宋_GBK" w:cs="方正仿宋_GBK"/>
          <w:spacing w:val="4"/>
          <w:lang w:val="en-US" w:eastAsia="zh-CN"/>
        </w:rPr>
        <w:t>区</w:t>
      </w:r>
      <w:r>
        <w:rPr>
          <w:rFonts w:hint="eastAsia" w:ascii="方正仿宋_GBK" w:hAnsi="方正仿宋_GBK" w:eastAsia="方正仿宋_GBK" w:cs="方正仿宋_GBK"/>
          <w:spacing w:val="4"/>
        </w:rPr>
        <w:t>级</w:t>
      </w:r>
      <w:r>
        <w:rPr>
          <w:rFonts w:hint="eastAsia" w:ascii="方正仿宋_GBK" w:hAnsi="方正仿宋_GBK" w:eastAsia="方正仿宋_GBK" w:cs="方正仿宋_GBK"/>
          <w:spacing w:val="-8"/>
        </w:rPr>
        <w:t>财政国有资本</w:t>
      </w:r>
      <w:r>
        <w:rPr>
          <w:rFonts w:hint="eastAsia" w:ascii="方正仿宋_GBK" w:hAnsi="方正仿宋_GBK" w:eastAsia="方正仿宋_GBK" w:cs="方正仿宋_GBK"/>
          <w:spacing w:val="-2"/>
        </w:rPr>
        <w:t>经营预算当年拨付的资金。</w:t>
      </w:r>
    </w:p>
    <w:p w14:paraId="008A5DD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74" w:firstLine="612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7"/>
          <w:lang w:val="en-US" w:eastAsia="zh-CN"/>
        </w:rPr>
        <w:t>四</w:t>
      </w: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7"/>
        </w:rPr>
        <w:t>上级补助收入：指从事业单位主管部门和上级</w:t>
      </w:r>
      <w:r>
        <w:rPr>
          <w:rFonts w:hint="eastAsia" w:ascii="方正仿宋_GBK" w:hAnsi="方正仿宋_GBK" w:eastAsia="方正仿宋_GBK" w:cs="方正仿宋_GBK"/>
          <w:spacing w:val="-8"/>
        </w:rPr>
        <w:t>单位取得</w:t>
      </w:r>
      <w:r>
        <w:rPr>
          <w:rFonts w:hint="eastAsia" w:ascii="方正仿宋_GBK" w:hAnsi="方正仿宋_GBK" w:eastAsia="方正仿宋_GBK" w:cs="方正仿宋_GBK"/>
          <w:spacing w:val="-5"/>
        </w:rPr>
        <w:t>的非财政补助收入。</w:t>
      </w:r>
    </w:p>
    <w:p w14:paraId="62A8204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69" w:firstLine="612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7"/>
          <w:lang w:val="en-US" w:eastAsia="zh-CN"/>
        </w:rPr>
        <w:t>五</w:t>
      </w: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7"/>
        </w:rPr>
        <w:t>事业收入：指事业单位开展专业业务活动及其辅助活动</w:t>
      </w:r>
      <w:r>
        <w:rPr>
          <w:rFonts w:hint="eastAsia" w:ascii="方正仿宋_GBK" w:hAnsi="方正仿宋_GBK" w:eastAsia="方正仿宋_GBK" w:cs="方正仿宋_GBK"/>
          <w:spacing w:val="-3"/>
        </w:rPr>
        <w:t>取得的收入。</w:t>
      </w:r>
    </w:p>
    <w:p w14:paraId="0EE1D2F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69" w:firstLine="612" w:firstLineChars="200"/>
        <w:jc w:val="both"/>
        <w:textAlignment w:val="baseline"/>
        <w:rPr>
          <w:rFonts w:hint="eastAsia" w:ascii="方正仿宋_GBK" w:hAnsi="方正仿宋_GBK" w:eastAsia="方正仿宋_GBK" w:cs="方正仿宋_GBK"/>
          <w:spacing w:val="-2"/>
        </w:rPr>
      </w:pP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7"/>
          <w:lang w:val="en-US" w:eastAsia="zh-CN"/>
        </w:rPr>
        <w:t>六</w:t>
      </w: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7"/>
        </w:rPr>
        <w:t>经营收入：指事业单位在专业业务活动及其辅助活动之</w:t>
      </w:r>
      <w:r>
        <w:rPr>
          <w:rFonts w:hint="eastAsia" w:ascii="方正仿宋_GBK" w:hAnsi="方正仿宋_GBK" w:eastAsia="方正仿宋_GBK" w:cs="方正仿宋_GBK"/>
          <w:spacing w:val="-2"/>
        </w:rPr>
        <w:t>外开展非独立核算经营活动取得的收入。</w:t>
      </w:r>
    </w:p>
    <w:p w14:paraId="4F92CDC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69" w:firstLine="608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8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8"/>
          <w:lang w:val="en-US" w:eastAsia="zh-CN"/>
        </w:rPr>
        <w:t>七</w:t>
      </w:r>
      <w:r>
        <w:rPr>
          <w:rFonts w:hint="eastAsia" w:ascii="方正仿宋_GBK" w:hAnsi="方正仿宋_GBK" w:eastAsia="方正仿宋_GBK" w:cs="方正仿宋_GBK"/>
          <w:spacing w:val="-8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8"/>
        </w:rPr>
        <w:t>其他收入：指单位取得的除上述“一般公共预算财政拨</w:t>
      </w:r>
      <w:r>
        <w:rPr>
          <w:rFonts w:hint="eastAsia" w:ascii="方正仿宋_GBK" w:hAnsi="方正仿宋_GBK" w:eastAsia="方正仿宋_GBK" w:cs="方正仿宋_GBK"/>
          <w:spacing w:val="-16"/>
        </w:rPr>
        <w:t>款收入”、“政府性基金预算财政拨款收入”、“国有资本经营预</w:t>
      </w:r>
      <w:r>
        <w:rPr>
          <w:rFonts w:hint="eastAsia" w:ascii="方正仿宋_GBK" w:hAnsi="方正仿宋_GBK" w:eastAsia="方正仿宋_GBK" w:cs="方正仿宋_GBK"/>
          <w:spacing w:val="-26"/>
        </w:rPr>
        <w:t>算财政拨款收入”、“上级补助收入”、“事业收入”、</w:t>
      </w:r>
      <w:r>
        <w:rPr>
          <w:rFonts w:hint="eastAsia" w:ascii="方正仿宋_GBK" w:hAnsi="方正仿宋_GBK" w:eastAsia="方正仿宋_GBK" w:cs="方正仿宋_GBK"/>
          <w:spacing w:val="-27"/>
        </w:rPr>
        <w:t>“经营收入”</w:t>
      </w:r>
      <w:r>
        <w:rPr>
          <w:rFonts w:hint="eastAsia" w:ascii="方正仿宋_GBK" w:hAnsi="方正仿宋_GBK" w:eastAsia="方正仿宋_GBK" w:cs="方正仿宋_GBK"/>
          <w:spacing w:val="-1"/>
        </w:rPr>
        <w:t>等收入以外的各项收入。(该项名词解释中“上述…等收入”请依据部门收入的实际情况进行解释)</w:t>
      </w:r>
    </w:p>
    <w:p w14:paraId="67D69B1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12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7"/>
          <w:lang w:val="en-US" w:eastAsia="zh-CN"/>
        </w:rPr>
        <w:t>八</w:t>
      </w: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7"/>
        </w:rPr>
        <w:t>使用非财政拨款结余(含专用结余)：指事业单位按预算</w:t>
      </w:r>
      <w:r>
        <w:rPr>
          <w:rFonts w:hint="eastAsia" w:ascii="方正仿宋_GBK" w:hAnsi="方正仿宋_GBK" w:eastAsia="方正仿宋_GBK" w:cs="方正仿宋_GBK"/>
          <w:spacing w:val="6"/>
        </w:rPr>
        <w:t>管理要求使用非财政拨款结余(含专用结余)弥补收支差额的金</w:t>
      </w:r>
      <w:r>
        <w:rPr>
          <w:rFonts w:hint="eastAsia" w:ascii="方正仿宋_GBK" w:hAnsi="方正仿宋_GBK" w:eastAsia="方正仿宋_GBK" w:cs="方正仿宋_GBK"/>
          <w:spacing w:val="-10"/>
        </w:rPr>
        <w:t>额。</w:t>
      </w:r>
    </w:p>
    <w:p w14:paraId="1A29655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74" w:firstLine="612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7"/>
          <w:lang w:val="en-US" w:eastAsia="zh-CN"/>
        </w:rPr>
        <w:t>九</w:t>
      </w: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7"/>
        </w:rPr>
        <w:t>年初结转和结余：指单位以前年度尚未完成、</w:t>
      </w:r>
      <w:r>
        <w:rPr>
          <w:rFonts w:hint="eastAsia" w:ascii="方正仿宋_GBK" w:hAnsi="方正仿宋_GBK" w:eastAsia="方正仿宋_GBK" w:cs="方正仿宋_GBK"/>
          <w:spacing w:val="-8"/>
        </w:rPr>
        <w:t>结转到本</w:t>
      </w:r>
      <w:r>
        <w:rPr>
          <w:rFonts w:hint="eastAsia" w:ascii="方正仿宋_GBK" w:hAnsi="方正仿宋_GBK" w:eastAsia="方正仿宋_GBK" w:cs="方正仿宋_GBK"/>
          <w:spacing w:val="-5"/>
        </w:rPr>
        <w:t>年仍按原规定用途继续使用的资金，或项目已完成等产生的结余资金。</w:t>
      </w:r>
    </w:p>
    <w:p w14:paraId="62911CA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24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4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4"/>
          <w:lang w:val="en-US" w:eastAsia="zh-CN"/>
        </w:rPr>
        <w:t>十</w:t>
      </w:r>
      <w:r>
        <w:rPr>
          <w:rFonts w:hint="eastAsia" w:ascii="方正仿宋_GBK" w:hAnsi="方正仿宋_GBK" w:eastAsia="方正仿宋_GBK" w:cs="方正仿宋_GBK"/>
          <w:spacing w:val="-4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4"/>
        </w:rPr>
        <w:t>本部门使用的支出功能分类科目(到项级)</w:t>
      </w:r>
    </w:p>
    <w:p w14:paraId="7C1D091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firstLine="632" w:firstLineChars="200"/>
        <w:jc w:val="both"/>
        <w:textAlignment w:val="baseline"/>
        <w:rPr>
          <w:rFonts w:hint="eastAsia" w:ascii="方正仿宋_GBK" w:hAnsi="方正仿宋_GBK" w:eastAsia="方正仿宋_GBK" w:cs="方正仿宋_GBK"/>
          <w:spacing w:val="-5"/>
        </w:rPr>
      </w:pPr>
      <w:r>
        <w:rPr>
          <w:rFonts w:hint="eastAsia" w:ascii="方正仿宋_GBK" w:hAnsi="方正仿宋_GBK" w:eastAsia="方正仿宋_GBK" w:cs="方正仿宋_GBK"/>
          <w:spacing w:val="-2"/>
          <w:lang w:val="en-US" w:eastAsia="zh-CN"/>
        </w:rPr>
        <w:t>1.</w:t>
      </w:r>
      <w:r>
        <w:rPr>
          <w:rFonts w:hint="eastAsia" w:ascii="方正仿宋_GBK" w:hAnsi="方正仿宋_GBK" w:eastAsia="方正仿宋_GBK" w:cs="方正仿宋_GBK"/>
          <w:spacing w:val="-2"/>
        </w:rPr>
        <w:t>一</w:t>
      </w:r>
      <w:r>
        <w:rPr>
          <w:rFonts w:hint="eastAsia" w:ascii="方正仿宋_GBK" w:hAnsi="方正仿宋_GBK" w:eastAsia="方正仿宋_GBK" w:cs="方正仿宋_GBK"/>
          <w:spacing w:val="-5"/>
        </w:rPr>
        <w:t>般公共服务(类)财政事务(款)行政运行(项)</w:t>
      </w:r>
    </w:p>
    <w:p w14:paraId="3030A9B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74" w:firstLine="612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7"/>
          <w:lang w:val="en-US" w:eastAsia="zh-CN"/>
        </w:rPr>
        <w:t>十一</w:t>
      </w: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7"/>
        </w:rPr>
        <w:t>结余分配：指单位按照会计制度规定缴纳企</w:t>
      </w:r>
      <w:r>
        <w:rPr>
          <w:rFonts w:hint="eastAsia" w:ascii="方正仿宋_GBK" w:hAnsi="方正仿宋_GBK" w:eastAsia="方正仿宋_GBK" w:cs="方正仿宋_GBK"/>
          <w:spacing w:val="-8"/>
        </w:rPr>
        <w:t>业所得税</w:t>
      </w:r>
      <w:r>
        <w:rPr>
          <w:rFonts w:hint="eastAsia" w:ascii="方正仿宋_GBK" w:hAnsi="方正仿宋_GBK" w:eastAsia="方正仿宋_GBK" w:cs="方正仿宋_GBK"/>
          <w:spacing w:val="-2"/>
        </w:rPr>
        <w:t>以及从非财政拨款结余或经营结余中提取各类结余的情况。</w:t>
      </w:r>
    </w:p>
    <w:p w14:paraId="1A3FC69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74" w:firstLine="612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7"/>
          <w:lang w:val="en-US" w:eastAsia="zh-CN"/>
        </w:rPr>
        <w:t>十二</w:t>
      </w: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7"/>
        </w:rPr>
        <w:t>年末结转和结余：指单位按有关规定结转到</w:t>
      </w:r>
      <w:r>
        <w:rPr>
          <w:rFonts w:hint="eastAsia" w:ascii="方正仿宋_GBK" w:hAnsi="方正仿宋_GBK" w:eastAsia="方正仿宋_GBK" w:cs="方正仿宋_GBK"/>
          <w:spacing w:val="-8"/>
        </w:rPr>
        <w:t>下年或以</w:t>
      </w:r>
      <w:r>
        <w:rPr>
          <w:rFonts w:hint="eastAsia" w:ascii="方正仿宋_GBK" w:hAnsi="方正仿宋_GBK" w:eastAsia="方正仿宋_GBK" w:cs="方正仿宋_GBK"/>
          <w:spacing w:val="-1"/>
        </w:rPr>
        <w:t>后年度继续使用的资金，或项目已完成等产生的结余资金。</w:t>
      </w:r>
    </w:p>
    <w:p w14:paraId="4341871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74" w:firstLine="612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7"/>
          <w:lang w:val="en-US" w:eastAsia="zh-CN"/>
        </w:rPr>
        <w:t>十三</w:t>
      </w: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7"/>
        </w:rPr>
        <w:t>基本支出：指为保障机构正常运转、完成日</w:t>
      </w:r>
      <w:r>
        <w:rPr>
          <w:rFonts w:hint="eastAsia" w:ascii="方正仿宋_GBK" w:hAnsi="方正仿宋_GBK" w:eastAsia="方正仿宋_GBK" w:cs="方正仿宋_GBK"/>
          <w:spacing w:val="-8"/>
        </w:rPr>
        <w:t>常工作任</w:t>
      </w:r>
      <w:r>
        <w:rPr>
          <w:rFonts w:hint="eastAsia" w:ascii="方正仿宋_GBK" w:hAnsi="方正仿宋_GBK" w:eastAsia="方正仿宋_GBK" w:cs="方正仿宋_GBK"/>
          <w:spacing w:val="-1"/>
        </w:rPr>
        <w:t>务而发生的人员支出和公用支出。</w:t>
      </w:r>
    </w:p>
    <w:p w14:paraId="428B84E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74" w:firstLine="612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7"/>
          <w:lang w:val="en-US" w:eastAsia="zh-CN"/>
        </w:rPr>
        <w:t>十四</w:t>
      </w: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7"/>
        </w:rPr>
        <w:t>项目支出：指在基本支出之外为完成特定行</w:t>
      </w:r>
      <w:r>
        <w:rPr>
          <w:rFonts w:hint="eastAsia" w:ascii="方正仿宋_GBK" w:hAnsi="方正仿宋_GBK" w:eastAsia="方正仿宋_GBK" w:cs="方正仿宋_GBK"/>
          <w:spacing w:val="-8"/>
        </w:rPr>
        <w:t>政任务或</w:t>
      </w:r>
      <w:r>
        <w:rPr>
          <w:rFonts w:hint="eastAsia" w:ascii="方正仿宋_GBK" w:hAnsi="方正仿宋_GBK" w:eastAsia="方正仿宋_GBK" w:cs="方正仿宋_GBK"/>
          <w:spacing w:val="-2"/>
        </w:rPr>
        <w:t>事业发展目标所发生的支出。</w:t>
      </w:r>
    </w:p>
    <w:p w14:paraId="197AAF5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74" w:firstLine="612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7"/>
          <w:lang w:val="en-US" w:eastAsia="zh-CN"/>
        </w:rPr>
        <w:t>十五</w:t>
      </w: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7"/>
        </w:rPr>
        <w:t>经营支出：指事业单位在专业活动及辅助活</w:t>
      </w:r>
      <w:r>
        <w:rPr>
          <w:rFonts w:hint="eastAsia" w:ascii="方正仿宋_GBK" w:hAnsi="方正仿宋_GBK" w:eastAsia="方正仿宋_GBK" w:cs="方正仿宋_GBK"/>
          <w:spacing w:val="-8"/>
        </w:rPr>
        <w:t>动之外开</w:t>
      </w:r>
      <w:r>
        <w:rPr>
          <w:rFonts w:hint="eastAsia" w:ascii="方正仿宋_GBK" w:hAnsi="方正仿宋_GBK" w:eastAsia="方正仿宋_GBK" w:cs="方正仿宋_GBK"/>
          <w:spacing w:val="-1"/>
        </w:rPr>
        <w:t>展非独立核算经营活动发生的支出。</w:t>
      </w:r>
    </w:p>
    <w:p w14:paraId="5DF6914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86" w:firstLine="628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3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3"/>
          <w:lang w:val="en-US" w:eastAsia="zh-CN"/>
        </w:rPr>
        <w:t>十六</w:t>
      </w:r>
      <w:r>
        <w:rPr>
          <w:rFonts w:hint="eastAsia" w:ascii="方正仿宋_GBK" w:hAnsi="方正仿宋_GBK" w:eastAsia="方正仿宋_GBK" w:cs="方正仿宋_GBK"/>
          <w:spacing w:val="-3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5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pacing w:val="-3"/>
        </w:rPr>
        <w:t>三</w:t>
      </w:r>
      <w:r>
        <w:rPr>
          <w:rFonts w:hint="eastAsia" w:ascii="方正仿宋_GBK" w:hAnsi="方正仿宋_GBK" w:eastAsia="方正仿宋_GBK" w:cs="方正仿宋_GBK"/>
          <w:spacing w:val="-3"/>
          <w:lang w:val="en-US" w:eastAsia="zh-CN"/>
        </w:rPr>
        <w:t>公</w:t>
      </w:r>
      <w:r>
        <w:rPr>
          <w:rFonts w:hint="eastAsia" w:ascii="方正仿宋_GBK" w:hAnsi="方正仿宋_GBK" w:eastAsia="方正仿宋_GBK" w:cs="方正仿宋_GBK"/>
          <w:spacing w:val="-5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spacing w:val="-3"/>
        </w:rPr>
        <w:t>经费：纳入</w:t>
      </w:r>
      <w:r>
        <w:rPr>
          <w:rFonts w:hint="eastAsia" w:ascii="方正仿宋_GBK" w:hAnsi="方正仿宋_GBK" w:eastAsia="方正仿宋_GBK" w:cs="方正仿宋_GBK"/>
          <w:spacing w:val="4"/>
          <w:lang w:val="en-US" w:eastAsia="zh-CN"/>
        </w:rPr>
        <w:t>区</w:t>
      </w:r>
      <w:r>
        <w:rPr>
          <w:rFonts w:hint="eastAsia" w:ascii="方正仿宋_GBK" w:hAnsi="方正仿宋_GBK" w:eastAsia="方正仿宋_GBK" w:cs="方正仿宋_GBK"/>
          <w:spacing w:val="4"/>
        </w:rPr>
        <w:t>级</w:t>
      </w:r>
      <w:r>
        <w:rPr>
          <w:rFonts w:hint="eastAsia" w:ascii="方正仿宋_GBK" w:hAnsi="方正仿宋_GBK" w:eastAsia="方正仿宋_GBK" w:cs="方正仿宋_GBK"/>
          <w:spacing w:val="-3"/>
        </w:rPr>
        <w:t>财政预决算管理的</w:t>
      </w:r>
      <w:r>
        <w:rPr>
          <w:rFonts w:hint="eastAsia" w:ascii="方正仿宋_GBK" w:hAnsi="方正仿宋_GBK" w:eastAsia="方正仿宋_GBK" w:cs="方正仿宋_GBK"/>
          <w:spacing w:val="-5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pacing w:val="-3"/>
        </w:rPr>
        <w:t>三</w:t>
      </w:r>
      <w:r>
        <w:rPr>
          <w:rFonts w:hint="eastAsia" w:ascii="方正仿宋_GBK" w:hAnsi="方正仿宋_GBK" w:eastAsia="方正仿宋_GBK" w:cs="方正仿宋_GBK"/>
          <w:spacing w:val="-3"/>
          <w:lang w:val="en-US" w:eastAsia="zh-CN"/>
        </w:rPr>
        <w:t>公</w:t>
      </w:r>
      <w:r>
        <w:rPr>
          <w:rFonts w:hint="eastAsia" w:ascii="方正仿宋_GBK" w:hAnsi="方正仿宋_GBK" w:eastAsia="方正仿宋_GBK" w:cs="方正仿宋_GBK"/>
          <w:spacing w:val="-5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spacing w:val="-5"/>
        </w:rPr>
        <w:t>经费，是指部门用财政拨款安排的因公出国(境)费、公务用</w:t>
      </w:r>
      <w:r>
        <w:rPr>
          <w:rFonts w:hint="eastAsia" w:ascii="方正仿宋_GBK" w:hAnsi="方正仿宋_GBK" w:eastAsia="方正仿宋_GBK" w:cs="方正仿宋_GBK"/>
          <w:spacing w:val="-8"/>
        </w:rPr>
        <w:t>车购置及运行维护费和公务接待费。其中，因公出国(境)费反映</w:t>
      </w:r>
      <w:r>
        <w:rPr>
          <w:rFonts w:hint="eastAsia" w:ascii="方正仿宋_GBK" w:hAnsi="方正仿宋_GBK" w:eastAsia="方正仿宋_GBK" w:cs="方正仿宋_GBK"/>
          <w:spacing w:val="-5"/>
        </w:rPr>
        <w:t>单位公务出国(境)的国际旅费、国外城市间交通费、住宿费、伙食费、培训费、公杂费等支出；公务用车购置及运行维护费反映</w:t>
      </w:r>
      <w:r>
        <w:rPr>
          <w:rFonts w:hint="eastAsia" w:ascii="方正仿宋_GBK" w:hAnsi="方正仿宋_GBK" w:eastAsia="方正仿宋_GBK" w:cs="方正仿宋_GBK"/>
          <w:spacing w:val="-7"/>
        </w:rPr>
        <w:t>单位公务用车购置支出(含车辆购置税、牌照</w:t>
      </w:r>
      <w:r>
        <w:rPr>
          <w:rFonts w:hint="eastAsia" w:ascii="方正仿宋_GBK" w:hAnsi="方正仿宋_GBK" w:eastAsia="方正仿宋_GBK" w:cs="方正仿宋_GBK"/>
          <w:spacing w:val="-8"/>
        </w:rPr>
        <w:t>费)及燃料费、维修</w:t>
      </w:r>
      <w:r>
        <w:rPr>
          <w:rFonts w:hint="eastAsia" w:ascii="方正仿宋_GBK" w:hAnsi="方正仿宋_GBK" w:eastAsia="方正仿宋_GBK" w:cs="方正仿宋_GBK"/>
          <w:spacing w:val="-5"/>
        </w:rPr>
        <w:t>费、过桥过路费、保险费、安全奖励费用等支出；公务接待费反</w:t>
      </w:r>
      <w:r>
        <w:rPr>
          <w:rFonts w:hint="eastAsia" w:ascii="方正仿宋_GBK" w:hAnsi="方正仿宋_GBK" w:eastAsia="方正仿宋_GBK" w:cs="方正仿宋_GBK"/>
          <w:spacing w:val="-1"/>
        </w:rPr>
        <w:t>映单位按规定开支的各类公务接待(含外宾接待)费用。</w:t>
      </w:r>
    </w:p>
    <w:p w14:paraId="23A91F7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32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2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2"/>
          <w:lang w:val="en-US" w:eastAsia="zh-CN"/>
        </w:rPr>
        <w:t>十七</w:t>
      </w:r>
      <w:r>
        <w:rPr>
          <w:rFonts w:hint="eastAsia" w:ascii="方正仿宋_GBK" w:hAnsi="方正仿宋_GBK" w:eastAsia="方正仿宋_GBK" w:cs="方正仿宋_GBK"/>
          <w:spacing w:val="-2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2"/>
        </w:rPr>
        <w:t>机关运行经费：指为保障行政单位(包括参照公务员</w:t>
      </w:r>
      <w:r>
        <w:rPr>
          <w:rFonts w:hint="eastAsia" w:ascii="方正仿宋_GBK" w:hAnsi="方正仿宋_GBK" w:eastAsia="方正仿宋_GBK" w:cs="方正仿宋_GBK"/>
          <w:spacing w:val="1"/>
        </w:rPr>
        <w:t>法管理的事业单位)运行用于购买货物和服务的各项资金，</w:t>
      </w:r>
      <w:r>
        <w:rPr>
          <w:rFonts w:hint="eastAsia" w:ascii="方正仿宋_GBK" w:hAnsi="方正仿宋_GBK" w:eastAsia="方正仿宋_GBK" w:cs="方正仿宋_GBK"/>
        </w:rPr>
        <w:t>包括</w:t>
      </w:r>
      <w:r>
        <w:rPr>
          <w:rFonts w:hint="eastAsia" w:ascii="方正仿宋_GBK" w:hAnsi="方正仿宋_GBK" w:eastAsia="方正仿宋_GBK" w:cs="方正仿宋_GBK"/>
          <w:spacing w:val="-5"/>
        </w:rPr>
        <w:t>办公费、印刷费、邮电费、差旅费、会议费、福利费、日常维修费、专用材料及一般设备购置费、办公用房水电费、办公用房取</w:t>
      </w:r>
      <w:r>
        <w:rPr>
          <w:rFonts w:hint="eastAsia" w:ascii="方正仿宋_GBK" w:hAnsi="方正仿宋_GBK" w:eastAsia="方正仿宋_GBK" w:cs="方正仿宋_GBK"/>
          <w:spacing w:val="-13"/>
        </w:rPr>
        <w:t>暖费、办公用房物业管理费、公务用车运行维护费以及其他费用。</w:t>
      </w:r>
    </w:p>
    <w:p w14:paraId="190D3583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08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8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8"/>
          <w:lang w:val="en-US" w:eastAsia="zh-CN"/>
        </w:rPr>
        <w:t>十八</w:t>
      </w:r>
      <w:r>
        <w:rPr>
          <w:rFonts w:hint="eastAsia" w:ascii="方正仿宋_GBK" w:hAnsi="方正仿宋_GBK" w:eastAsia="方正仿宋_GBK" w:cs="方正仿宋_GBK"/>
          <w:spacing w:val="-8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8"/>
        </w:rPr>
        <w:t>其他专用名词。</w:t>
      </w:r>
    </w:p>
    <w:p w14:paraId="208BA842">
      <w:pPr>
        <w:spacing w:before="143" w:line="222" w:lineRule="auto"/>
        <w:ind w:left="2643"/>
        <w:jc w:val="both"/>
        <w:outlineLvl w:val="3"/>
        <w:rPr>
          <w:rFonts w:ascii="黑体" w:hAnsi="黑体" w:eastAsia="黑体" w:cs="黑体"/>
          <w:spacing w:val="-6"/>
          <w:sz w:val="44"/>
          <w:szCs w:val="44"/>
        </w:rPr>
        <w:sectPr>
          <w:pgSz w:w="11900" w:h="16840"/>
          <w:pgMar w:top="1431" w:right="1686" w:bottom="1717" w:left="1785" w:header="0" w:footer="1468" w:gutter="0"/>
          <w:cols w:space="720" w:num="1"/>
        </w:sectPr>
      </w:pPr>
    </w:p>
    <w:p w14:paraId="738701C9">
      <w:pPr>
        <w:spacing w:before="143" w:line="222" w:lineRule="auto"/>
        <w:ind w:left="2643"/>
        <w:jc w:val="both"/>
        <w:outlineLvl w:val="3"/>
        <w:rPr>
          <w:rFonts w:ascii="黑体" w:hAnsi="黑体" w:eastAsia="黑体" w:cs="黑体"/>
          <w:sz w:val="44"/>
          <w:szCs w:val="44"/>
        </w:rPr>
      </w:pPr>
      <w:r>
        <w:rPr>
          <w:rFonts w:ascii="黑体" w:hAnsi="黑体" w:eastAsia="黑体" w:cs="黑体"/>
          <w:spacing w:val="-6"/>
          <w:sz w:val="44"/>
          <w:szCs w:val="44"/>
        </w:rPr>
        <w:t>第六部分附件</w:t>
      </w:r>
    </w:p>
    <w:p w14:paraId="56AF9A98">
      <w:pPr>
        <w:spacing w:before="104" w:line="222" w:lineRule="auto"/>
        <w:ind w:left="402"/>
        <w:jc w:val="both"/>
        <w:rPr>
          <w:rFonts w:ascii="黑体" w:hAnsi="黑体" w:eastAsia="黑体" w:cs="黑体"/>
          <w:spacing w:val="-1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一、2023年度</w:t>
      </w:r>
      <w:r>
        <w:rPr>
          <w:rFonts w:hint="eastAsia" w:ascii="黑体" w:hAnsi="黑体" w:eastAsia="黑体" w:cs="黑体"/>
          <w:spacing w:val="-1"/>
          <w:sz w:val="32"/>
          <w:szCs w:val="32"/>
          <w:u w:val="single"/>
          <w:lang w:eastAsia="zh-CN"/>
        </w:rPr>
        <w:t>武汉市江岸区消防救援大队</w:t>
      </w:r>
      <w:r>
        <w:rPr>
          <w:rFonts w:ascii="黑体" w:hAnsi="黑体" w:eastAsia="黑体" w:cs="黑体"/>
          <w:spacing w:val="-1"/>
          <w:sz w:val="32"/>
          <w:szCs w:val="32"/>
        </w:rPr>
        <w:t>整体绩效自评表</w:t>
      </w:r>
    </w:p>
    <w:p w14:paraId="09BC9E4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4" w:lineRule="auto"/>
        <w:jc w:val="both"/>
        <w:textAlignment w:val="baseline"/>
        <w:rPr>
          <w:rFonts w:ascii="黑体" w:hAnsi="黑体" w:eastAsia="黑体" w:cs="黑体"/>
          <w:spacing w:val="-1"/>
          <w:sz w:val="32"/>
          <w:szCs w:val="32"/>
        </w:rPr>
      </w:pPr>
      <w:r>
        <w:drawing>
          <wp:inline distT="0" distB="0" distL="114300" distR="114300">
            <wp:extent cx="4575810" cy="7866380"/>
            <wp:effectExtent l="0" t="0" r="15240" b="12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39C7D">
      <w:pPr>
        <w:spacing w:before="215" w:line="284" w:lineRule="auto"/>
        <w:ind w:left="1100" w:right="344" w:hanging="698"/>
        <w:jc w:val="both"/>
        <w:rPr>
          <w:rFonts w:ascii="黑体" w:hAnsi="黑体" w:eastAsia="黑体" w:cs="黑体"/>
          <w:spacing w:val="-2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二、2023年度项目绩效自评表</w:t>
      </w:r>
    </w:p>
    <w:p w14:paraId="2BE9C3A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5" w:line="284" w:lineRule="auto"/>
        <w:ind w:right="0"/>
        <w:jc w:val="both"/>
        <w:textAlignment w:val="baseline"/>
        <w:rPr>
          <w:rFonts w:hint="eastAsia" w:ascii="黑体" w:hAnsi="黑体" w:eastAsia="黑体" w:cs="黑体"/>
          <w:spacing w:val="-2"/>
          <w:sz w:val="32"/>
          <w:szCs w:val="32"/>
          <w:lang w:eastAsia="zh-CN"/>
        </w:rPr>
        <w:sectPr>
          <w:pgSz w:w="11900" w:h="16840"/>
          <w:pgMar w:top="1431" w:right="1686" w:bottom="1717" w:left="1785" w:header="0" w:footer="1468" w:gutter="0"/>
          <w:cols w:space="720" w:num="1"/>
        </w:sectPr>
      </w:pPr>
      <w:r>
        <w:drawing>
          <wp:inline distT="0" distB="0" distL="114300" distR="114300">
            <wp:extent cx="4983480" cy="8155305"/>
            <wp:effectExtent l="0" t="0" r="7620" b="171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C872C">
      <w:pPr>
        <w:jc w:val="both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58436A1F-EC17-4F6D-A75A-B39C947B1E2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6AB6A0AD-4693-440F-85EA-5E25983ED5AD}"/>
  </w:font>
  <w:font w:name="Courier New">
    <w:altName w:val="Arial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entury Gothic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C754E3B-0AF5-4C47-AE05-C31172D4589D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4" w:fontKey="{78A6095F-2457-4A3E-A25C-C8FB66909C32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4BAAAA1-C198-4424-AA98-9D5061DEDE85}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AB0F54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21F5A0"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C0A051">
    <w:pPr>
      <w:pStyle w:val="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D6A7B"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F476ED"/>
    <w:multiLevelType w:val="singleLevel"/>
    <w:tmpl w:val="FBF476ED"/>
    <w:lvl w:ilvl="0" w:tentative="0">
      <w:start w:val="1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F8BF6D"/>
    <w:multiLevelType w:val="singleLevel"/>
    <w:tmpl w:val="34F8BF6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FF3CFEE"/>
    <w:multiLevelType w:val="singleLevel"/>
    <w:tmpl w:val="3FF3CFE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DC71F7E"/>
    <w:multiLevelType w:val="singleLevel"/>
    <w:tmpl w:val="4DC71F7E"/>
    <w:lvl w:ilvl="0" w:tentative="0">
      <w:start w:val="1"/>
      <w:numFmt w:val="chineseCounting"/>
      <w:suff w:val="space"/>
      <w:lvlText w:val="第%1部分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1NTllNTI4NTNiYjZmZmYzOWEwODdmOWZjNTM1ZjEifQ=="/>
  </w:docVars>
  <w:rsids>
    <w:rsidRoot w:val="5FF6298D"/>
    <w:rsid w:val="018A5227"/>
    <w:rsid w:val="17BD84BB"/>
    <w:rsid w:val="17EB6CD0"/>
    <w:rsid w:val="1AFC8D12"/>
    <w:rsid w:val="1BF7B04A"/>
    <w:rsid w:val="1CFF7970"/>
    <w:rsid w:val="20E209FC"/>
    <w:rsid w:val="2AB7525C"/>
    <w:rsid w:val="2F7EDB25"/>
    <w:rsid w:val="39EB8E33"/>
    <w:rsid w:val="3BBFCA76"/>
    <w:rsid w:val="44A976B2"/>
    <w:rsid w:val="58BB9C82"/>
    <w:rsid w:val="5F932950"/>
    <w:rsid w:val="5FF6298D"/>
    <w:rsid w:val="67F9473A"/>
    <w:rsid w:val="6B6118AE"/>
    <w:rsid w:val="7B557419"/>
    <w:rsid w:val="7BF35329"/>
    <w:rsid w:val="7D7F4D13"/>
    <w:rsid w:val="7EEFF4A8"/>
    <w:rsid w:val="7F77BA77"/>
    <w:rsid w:val="7F77F45D"/>
    <w:rsid w:val="7FBF8489"/>
    <w:rsid w:val="7FD9C192"/>
    <w:rsid w:val="7FFD1BA8"/>
    <w:rsid w:val="9DED5EFC"/>
    <w:rsid w:val="ABBF6B76"/>
    <w:rsid w:val="B4F4498A"/>
    <w:rsid w:val="BBE9A4B0"/>
    <w:rsid w:val="BBF7C6D3"/>
    <w:rsid w:val="BEFE07DF"/>
    <w:rsid w:val="BF7B4CF3"/>
    <w:rsid w:val="CF9B8E40"/>
    <w:rsid w:val="D5FBBBD7"/>
    <w:rsid w:val="DBBBCAE5"/>
    <w:rsid w:val="DBF7AF1E"/>
    <w:rsid w:val="F5EFF90C"/>
    <w:rsid w:val="F7F66F3B"/>
    <w:rsid w:val="F95FAEAD"/>
    <w:rsid w:val="FA47C10D"/>
    <w:rsid w:val="FBC86AF0"/>
    <w:rsid w:val="FBFF24ED"/>
    <w:rsid w:val="FD5FC9AC"/>
    <w:rsid w:val="FE6F55E3"/>
    <w:rsid w:val="FF57E130"/>
    <w:rsid w:val="FF5ED140"/>
    <w:rsid w:val="FF7B66E0"/>
    <w:rsid w:val="FFDD5C02"/>
    <w:rsid w:val="FFFF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2"/>
      <w:szCs w:val="32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7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chart" Target="charts/chart3.xml"/><Relationship Id="rId20" Type="http://schemas.openxmlformats.org/officeDocument/2006/relationships/chart" Target="charts/chart2.xml"/><Relationship Id="rId2" Type="http://schemas.openxmlformats.org/officeDocument/2006/relationships/settings" Target="settings.xml"/><Relationship Id="rId19" Type="http://schemas.openxmlformats.org/officeDocument/2006/relationships/chart" Target="charts/chart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&#24037;&#20316;&#31807;1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&#24037;&#20316;&#31807;1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&#24037;&#20316;&#31807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1" i="0" u="none" strike="noStrike" kern="1200" spc="0" baseline="0">
                <a:solidFill>
                  <a:sysClr val="windowText" lastClr="000000"/>
                </a:solidFill>
                <a:latin typeface="仿宋" panose="02010609060101010101" charset="-122"/>
                <a:ea typeface="仿宋" panose="02010609060101010101" charset="-122"/>
                <a:cs typeface="仿宋" panose="02010609060101010101" charset="-122"/>
                <a:sym typeface="仿宋" panose="02010609060101010101" charset="-122"/>
              </a:defRPr>
            </a:pPr>
            <a:r>
              <a:rPr b="1">
                <a:solidFill>
                  <a:sysClr val="windowText" lastClr="000000"/>
                </a:solidFill>
                <a:latin typeface="仿宋" panose="02010609060101010101" charset="-122"/>
                <a:ea typeface="仿宋" panose="02010609060101010101" charset="-122"/>
                <a:cs typeface="仿宋" panose="02010609060101010101" charset="-122"/>
                <a:sym typeface="仿宋" panose="02010609060101010101" charset="-122"/>
              </a:rPr>
              <a:t>图1：收、支决算总计变动情况</a:t>
            </a:r>
            <a:endParaRPr b="1">
              <a:solidFill>
                <a:sysClr val="windowText" lastClr="000000"/>
              </a:solidFill>
              <a:latin typeface="仿宋" panose="02010609060101010101" charset="-122"/>
              <a:ea typeface="仿宋" panose="02010609060101010101" charset="-122"/>
              <a:cs typeface="仿宋" panose="02010609060101010101" charset="-122"/>
              <a:sym typeface="仿宋" panose="02010609060101010101" charset="-122"/>
            </a:endParaRPr>
          </a:p>
        </c:rich>
      </c:tx>
      <c:layout>
        <c:manualLayout>
          <c:xMode val="edge"/>
          <c:yMode val="edge"/>
          <c:x val="0.237361111111111"/>
          <c:y val="0.0451388888888889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[工作簿1]Sheet1!$N$2</c:f>
              <c:strCache>
                <c:ptCount val="1"/>
                <c:pt idx="0">
                  <c:v>收入总计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[工作簿1]Sheet1!$M$3:$M$4</c:f>
              <c:strCache>
                <c:ptCount val="2"/>
                <c:pt idx="0">
                  <c:v>2022年度</c:v>
                </c:pt>
                <c:pt idx="1">
                  <c:v>2023年度</c:v>
                </c:pt>
              </c:strCache>
            </c:strRef>
          </c:cat>
          <c:val>
            <c:numRef>
              <c:f>[工作簿1]Sheet1!$N$3:$N$4</c:f>
              <c:numCache>
                <c:formatCode>General</c:formatCode>
                <c:ptCount val="2"/>
                <c:pt idx="0">
                  <c:v>4173.88</c:v>
                </c:pt>
                <c:pt idx="1">
                  <c:v>4727.16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23227528"/>
        <c:axId val="663889573"/>
      </c:barChart>
      <c:catAx>
        <c:axId val="92322752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</a:p>
        </c:txPr>
        <c:crossAx val="663889573"/>
        <c:crosses val="autoZero"/>
        <c:auto val="1"/>
        <c:lblAlgn val="ctr"/>
        <c:lblOffset val="100"/>
        <c:noMultiLvlLbl val="0"/>
      </c:catAx>
      <c:valAx>
        <c:axId val="66388957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</a:p>
        </c:txPr>
        <c:crossAx val="923227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a36858ae-d4a6-4fbf-84b0-a4550a8b5ba5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1" i="0" u="none" strike="noStrike" kern="1200" spc="0" baseline="0">
                <a:solidFill>
                  <a:schemeClr val="tx1"/>
                </a:solidFill>
                <a:latin typeface="仿宋" panose="02010609060101010101" charset="-122"/>
                <a:ea typeface="仿宋" panose="02010609060101010101" charset="-122"/>
                <a:cs typeface="仿宋" panose="02010609060101010101" charset="-122"/>
                <a:sym typeface="仿宋" panose="02010609060101010101" charset="-122"/>
              </a:defRPr>
            </a:pPr>
            <a:r>
              <a:rPr b="1">
                <a:solidFill>
                  <a:schemeClr val="tx1"/>
                </a:solidFill>
                <a:latin typeface="仿宋" panose="02010609060101010101" charset="-122"/>
                <a:ea typeface="仿宋" panose="02010609060101010101" charset="-122"/>
                <a:cs typeface="仿宋" panose="02010609060101010101" charset="-122"/>
                <a:sym typeface="仿宋" panose="02010609060101010101" charset="-122"/>
              </a:rPr>
              <a:t>图</a:t>
            </a:r>
            <a:r>
              <a:rPr lang="en-US" altLang="zh-CN" b="1">
                <a:solidFill>
                  <a:schemeClr val="tx1"/>
                </a:solidFill>
                <a:latin typeface="仿宋" panose="02010609060101010101" charset="-122"/>
                <a:ea typeface="仿宋" panose="02010609060101010101" charset="-122"/>
                <a:cs typeface="仿宋" panose="02010609060101010101" charset="-122"/>
                <a:sym typeface="仿宋" panose="02010609060101010101" charset="-122"/>
              </a:rPr>
              <a:t>2</a:t>
            </a:r>
            <a:r>
              <a:rPr altLang="en-US" b="1">
                <a:solidFill>
                  <a:schemeClr val="tx1"/>
                </a:solidFill>
                <a:latin typeface="仿宋" panose="02010609060101010101" charset="-122"/>
                <a:ea typeface="仿宋" panose="02010609060101010101" charset="-122"/>
                <a:cs typeface="仿宋" panose="02010609060101010101" charset="-122"/>
                <a:sym typeface="仿宋" panose="02010609060101010101" charset="-122"/>
              </a:rPr>
              <a:t>：收入决算结构</a:t>
            </a:r>
            <a:endParaRPr altLang="en-US" b="1">
              <a:solidFill>
                <a:schemeClr val="tx1"/>
              </a:solidFill>
              <a:latin typeface="仿宋" panose="02010609060101010101" charset="-122"/>
              <a:ea typeface="仿宋" panose="02010609060101010101" charset="-122"/>
              <a:cs typeface="仿宋" panose="02010609060101010101" charset="-122"/>
              <a:sym typeface="仿宋" panose="02010609060101010101" charset="-122"/>
            </a:endParaRPr>
          </a:p>
        </c:rich>
      </c:tx>
      <c:layout>
        <c:manualLayout>
          <c:xMode val="edge"/>
          <c:yMode val="edge"/>
          <c:x val="0.325763888888889"/>
          <c:y val="0.03125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[工作簿1]Sheet1!$H$2</c:f>
              <c:strCache>
                <c:ptCount val="1"/>
                <c:pt idx="0">
                  <c:v>占比</c:v>
                </c:pt>
              </c:strCache>
            </c:strRef>
          </c:tx>
          <c:spPr/>
          <c:explosion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[工作簿1]Sheet1!$G$3:$G$7</c:f>
              <c:strCache>
                <c:ptCount val="5"/>
                <c:pt idx="0">
                  <c:v>财政拨款收入</c:v>
                </c:pt>
                <c:pt idx="1">
                  <c:v>上级补助收入</c:v>
                </c:pt>
                <c:pt idx="2">
                  <c:v>事业收入</c:v>
                </c:pt>
                <c:pt idx="3">
                  <c:v>经营收入</c:v>
                </c:pt>
                <c:pt idx="4">
                  <c:v>其他收入</c:v>
                </c:pt>
              </c:strCache>
            </c:strRef>
          </c:cat>
          <c:val>
            <c:numRef>
              <c:f>[工作簿1]Sheet1!$H$3:$H$7</c:f>
              <c:numCache>
                <c:formatCode>0%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2c2341a6-3164-4efe-a02f-18e2c2830b3c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1" i="0" u="none" strike="noStrike" kern="1200" spc="0" baseline="0">
                <a:solidFill>
                  <a:schemeClr val="tx1"/>
                </a:solidFill>
                <a:latin typeface="仿宋" panose="02010609060101010101" charset="-122"/>
                <a:ea typeface="仿宋" panose="02010609060101010101" charset="-122"/>
                <a:cs typeface="仿宋" panose="02010609060101010101" charset="-122"/>
                <a:sym typeface="仿宋" panose="02010609060101010101" charset="-122"/>
              </a:defRPr>
            </a:pPr>
            <a:r>
              <a:rPr b="1">
                <a:solidFill>
                  <a:schemeClr val="tx1"/>
                </a:solidFill>
                <a:latin typeface="仿宋" panose="02010609060101010101" charset="-122"/>
                <a:ea typeface="仿宋" panose="02010609060101010101" charset="-122"/>
                <a:cs typeface="仿宋" panose="02010609060101010101" charset="-122"/>
                <a:sym typeface="仿宋" panose="02010609060101010101" charset="-122"/>
              </a:rPr>
              <a:t>图</a:t>
            </a:r>
            <a:r>
              <a:rPr lang="en-US" altLang="zh-CN" b="1">
                <a:solidFill>
                  <a:schemeClr val="tx1"/>
                </a:solidFill>
                <a:latin typeface="仿宋" panose="02010609060101010101" charset="-122"/>
                <a:ea typeface="仿宋" panose="02010609060101010101" charset="-122"/>
                <a:cs typeface="仿宋" panose="02010609060101010101" charset="-122"/>
                <a:sym typeface="仿宋" panose="02010609060101010101" charset="-122"/>
              </a:rPr>
              <a:t>3</a:t>
            </a:r>
            <a:r>
              <a:rPr altLang="en-US" b="1">
                <a:solidFill>
                  <a:schemeClr val="tx1"/>
                </a:solidFill>
                <a:latin typeface="仿宋" panose="02010609060101010101" charset="-122"/>
                <a:ea typeface="仿宋" panose="02010609060101010101" charset="-122"/>
                <a:cs typeface="仿宋" panose="02010609060101010101" charset="-122"/>
                <a:sym typeface="仿宋" panose="02010609060101010101" charset="-122"/>
              </a:rPr>
              <a:t>：支出决算结构</a:t>
            </a:r>
            <a:endParaRPr altLang="en-US" b="1">
              <a:solidFill>
                <a:schemeClr val="tx1"/>
              </a:solidFill>
              <a:latin typeface="仿宋" panose="02010609060101010101" charset="-122"/>
              <a:ea typeface="仿宋" panose="02010609060101010101" charset="-122"/>
              <a:cs typeface="仿宋" panose="02010609060101010101" charset="-122"/>
              <a:sym typeface="仿宋" panose="02010609060101010101" charset="-122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[工作簿1]Sheet1!$H$2</c:f>
              <c:strCache>
                <c:ptCount val="1"/>
                <c:pt idx="0">
                  <c:v>占比</c:v>
                </c:pt>
              </c:strCache>
            </c:strRef>
          </c:tx>
          <c:spPr/>
          <c:explosion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[工作簿1]Sheet1!$G$3:$G$7</c:f>
              <c:strCache>
                <c:ptCount val="5"/>
                <c:pt idx="0">
                  <c:v>基本支出</c:v>
                </c:pt>
                <c:pt idx="1">
                  <c:v>项目支出</c:v>
                </c:pt>
                <c:pt idx="2">
                  <c:v>上缴上级支出</c:v>
                </c:pt>
                <c:pt idx="3">
                  <c:v>经营支出</c:v>
                </c:pt>
              </c:strCache>
            </c:strRef>
          </c:cat>
          <c:val>
            <c:numRef>
              <c:f>[工作簿1]Sheet1!$H$3:$H$7</c:f>
              <c:numCache>
                <c:formatCode>0.00%</c:formatCode>
                <c:ptCount val="5"/>
                <c:pt idx="0">
                  <c:v>0.204</c:v>
                </c:pt>
                <c:pt idx="1">
                  <c:v>0.796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3006179571065"/>
          <c:y val="0.361204481792717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cc237316-22bb-44b3-b1ae-8e9fe64b738e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6979</Words>
  <Characters>7355</Characters>
  <Lines>0</Lines>
  <Paragraphs>0</Paragraphs>
  <TotalTime>5</TotalTime>
  <ScaleCrop>false</ScaleCrop>
  <LinksUpToDate>false</LinksUpToDate>
  <CharactersWithSpaces>7355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2024-10-24T00:35:00Z</dcterms:created>
  <dc:creator>Sherry</dc:creator>
  <cp:lastModifiedBy>X  X</cp:lastModifiedBy>
  <dcterms:modified xsi:type="dcterms:W3CDTF">2026-01-05T03:26:32Z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96F5FAB8A0117387BC63176775C33814</vt:lpwstr>
  </property>
  <property fmtid="{D5CDD505-2E9C-101B-9397-08002B2CF9AE}" pid="4" name="KSOTemplateDocerSaveRecord">
    <vt:lpwstr>eyJoZGlkIjoiMDgyYjA4MTNmM2QyOWMwNjkzZWZiNmI2YzU1MmZmOTMiLCJ1c2VySWQiOiIzNjAzMTI3ODUifQ==</vt:lpwstr>
  </property>
</Properties>
</file>